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80" w:rsidRDefault="00612F80" w:rsidP="000C3EA1">
      <w:pPr>
        <w:pStyle w:val="Footer"/>
        <w:tabs>
          <w:tab w:val="clear" w:pos="8640"/>
          <w:tab w:val="left" w:leader="dot" w:pos="4320"/>
          <w:tab w:val="left" w:pos="9360"/>
        </w:tabs>
        <w:ind w:right="-540"/>
        <w:jc w:val="right"/>
        <w:rPr>
          <w:rFonts w:ascii="Arial" w:hAnsi="Arial" w:cs="Arial"/>
          <w:b/>
          <w:sz w:val="32"/>
          <w:u w:val="single"/>
        </w:rPr>
      </w:pPr>
      <w:bookmarkStart w:id="0" w:name="OLE_LINK32"/>
      <w:bookmarkStart w:id="1" w:name="OLE_LINK40"/>
    </w:p>
    <w:p w:rsidR="005F487D" w:rsidRDefault="005F487D" w:rsidP="000C3EA1">
      <w:pPr>
        <w:pStyle w:val="Footer"/>
        <w:tabs>
          <w:tab w:val="clear" w:pos="8640"/>
          <w:tab w:val="left" w:leader="dot" w:pos="4320"/>
          <w:tab w:val="left" w:pos="9360"/>
        </w:tabs>
        <w:ind w:right="-540"/>
        <w:jc w:val="right"/>
        <w:rPr>
          <w:rFonts w:ascii="Arial" w:hAnsi="Arial" w:cs="Arial"/>
          <w:b/>
          <w:sz w:val="32"/>
          <w:u w:val="single"/>
        </w:rPr>
      </w:pPr>
    </w:p>
    <w:p w:rsidR="00612F80" w:rsidRDefault="00612F80" w:rsidP="002D56F5">
      <w:pPr>
        <w:pStyle w:val="Footer"/>
        <w:tabs>
          <w:tab w:val="clear" w:pos="8640"/>
          <w:tab w:val="left" w:leader="dot" w:pos="4320"/>
        </w:tabs>
        <w:ind w:right="-540"/>
        <w:jc w:val="center"/>
        <w:rPr>
          <w:rFonts w:ascii="Times New Roman" w:hAnsi="Times New Roman"/>
          <w:b/>
          <w:sz w:val="36"/>
        </w:rPr>
      </w:pPr>
      <w:smartTag w:uri="urn:schemas-microsoft-com:office:smarttags" w:element="place">
        <w:smartTag w:uri="urn:schemas-microsoft-com:office:smarttags" w:element="country-region">
          <w:r>
            <w:rPr>
              <w:rFonts w:ascii="Times New Roman" w:hAnsi="Times New Roman"/>
              <w:b/>
              <w:sz w:val="36"/>
            </w:rPr>
            <w:t>U.S.</w:t>
          </w:r>
        </w:smartTag>
      </w:smartTag>
      <w:r>
        <w:rPr>
          <w:rFonts w:ascii="Times New Roman" w:hAnsi="Times New Roman"/>
          <w:b/>
          <w:sz w:val="36"/>
        </w:rPr>
        <w:t xml:space="preserve"> Department of Justice</w:t>
      </w:r>
    </w:p>
    <w:p w:rsidR="00612F80" w:rsidRDefault="00612F80" w:rsidP="002D56F5">
      <w:pPr>
        <w:pStyle w:val="Footer"/>
        <w:tabs>
          <w:tab w:val="clear" w:pos="8640"/>
          <w:tab w:val="left" w:leader="dot" w:pos="4320"/>
        </w:tabs>
        <w:ind w:right="-540"/>
        <w:jc w:val="center"/>
        <w:rPr>
          <w:rFonts w:ascii="Times New Roman" w:hAnsi="Times New Roman"/>
          <w:b/>
        </w:rPr>
      </w:pPr>
    </w:p>
    <w:p w:rsidR="00612F80" w:rsidRDefault="00612F80" w:rsidP="002D56F5">
      <w:pPr>
        <w:pStyle w:val="Footer"/>
        <w:tabs>
          <w:tab w:val="clear" w:pos="8640"/>
          <w:tab w:val="left" w:leader="dot" w:pos="4320"/>
        </w:tabs>
        <w:ind w:right="-540"/>
        <w:jc w:val="center"/>
        <w:rPr>
          <w:rFonts w:ascii="Times New Roman" w:hAnsi="Times New Roman" w:cs="Arial"/>
          <w:b/>
          <w:sz w:val="36"/>
        </w:rPr>
      </w:pPr>
      <w:r>
        <w:rPr>
          <w:rFonts w:ascii="Times New Roman" w:hAnsi="Times New Roman" w:cs="Arial"/>
          <w:b/>
          <w:sz w:val="36"/>
        </w:rPr>
        <w:t>FY 201</w:t>
      </w:r>
      <w:r w:rsidR="00D14ACA">
        <w:rPr>
          <w:rFonts w:ascii="Times New Roman" w:hAnsi="Times New Roman" w:cs="Arial"/>
          <w:b/>
          <w:sz w:val="36"/>
        </w:rPr>
        <w:t>3</w:t>
      </w:r>
      <w:r>
        <w:rPr>
          <w:rFonts w:ascii="Times New Roman" w:hAnsi="Times New Roman" w:cs="Arial"/>
          <w:b/>
          <w:sz w:val="36"/>
        </w:rPr>
        <w:t xml:space="preserve"> </w:t>
      </w:r>
      <w:r w:rsidR="001779D3">
        <w:rPr>
          <w:rFonts w:ascii="Times New Roman" w:hAnsi="Times New Roman" w:cs="Arial"/>
          <w:b/>
          <w:sz w:val="36"/>
        </w:rPr>
        <w:t xml:space="preserve">PERFORMANCE </w:t>
      </w:r>
      <w:r w:rsidR="00D14ACA">
        <w:rPr>
          <w:rFonts w:ascii="Times New Roman" w:hAnsi="Times New Roman" w:cs="Arial"/>
          <w:b/>
          <w:sz w:val="36"/>
        </w:rPr>
        <w:t>BUDGET</w:t>
      </w:r>
    </w:p>
    <w:p w:rsidR="00612F80" w:rsidRDefault="00612F80" w:rsidP="002D56F5">
      <w:pPr>
        <w:pStyle w:val="Footer"/>
        <w:tabs>
          <w:tab w:val="clear" w:pos="8640"/>
          <w:tab w:val="left" w:leader="dot" w:pos="4320"/>
        </w:tabs>
        <w:ind w:right="-540"/>
        <w:jc w:val="center"/>
        <w:rPr>
          <w:rFonts w:ascii="Times New Roman" w:hAnsi="Times New Roman" w:cs="Arial"/>
          <w:b/>
          <w:sz w:val="36"/>
        </w:rPr>
      </w:pPr>
    </w:p>
    <w:p w:rsidR="00612F80" w:rsidRDefault="00612F80" w:rsidP="002D56F5">
      <w:pPr>
        <w:pStyle w:val="Footer"/>
        <w:tabs>
          <w:tab w:val="clear" w:pos="8640"/>
          <w:tab w:val="left" w:leader="dot" w:pos="4320"/>
        </w:tabs>
        <w:ind w:right="-540"/>
        <w:jc w:val="center"/>
        <w:rPr>
          <w:rFonts w:ascii="Times New Roman" w:hAnsi="Times New Roman" w:cs="Arial"/>
          <w:b/>
          <w:sz w:val="36"/>
        </w:rPr>
      </w:pPr>
    </w:p>
    <w:p w:rsidR="00612F80" w:rsidRPr="00496B19" w:rsidRDefault="00612F80" w:rsidP="002D56F5">
      <w:pPr>
        <w:pStyle w:val="Footer"/>
        <w:tabs>
          <w:tab w:val="clear" w:pos="8640"/>
          <w:tab w:val="left" w:leader="dot" w:pos="4320"/>
        </w:tabs>
        <w:ind w:right="-540"/>
        <w:jc w:val="center"/>
        <w:rPr>
          <w:rFonts w:ascii="Times New Roman" w:hAnsi="Times New Roman"/>
          <w:b/>
          <w:sz w:val="52"/>
          <w:szCs w:val="52"/>
        </w:rPr>
      </w:pPr>
      <w:r w:rsidRPr="00496B19">
        <w:rPr>
          <w:rFonts w:ascii="Times New Roman" w:hAnsi="Times New Roman" w:cs="Arial"/>
          <w:b/>
          <w:sz w:val="52"/>
          <w:szCs w:val="52"/>
        </w:rPr>
        <w:t>Office on Violence Against Women</w:t>
      </w:r>
    </w:p>
    <w:p w:rsidR="00612F80" w:rsidRDefault="00612F80" w:rsidP="002D56F5">
      <w:pPr>
        <w:ind w:right="-540"/>
        <w:rPr>
          <w:b/>
        </w:rPr>
      </w:pPr>
      <w:r w:rsidRPr="00E0065D">
        <w:rPr>
          <w:b/>
        </w:rPr>
        <w:t xml:space="preserve"> </w:t>
      </w:r>
    </w:p>
    <w:p w:rsidR="00612F80" w:rsidRDefault="00612F80" w:rsidP="002D56F5">
      <w:pPr>
        <w:ind w:right="-540"/>
        <w:rPr>
          <w:b/>
        </w:rPr>
      </w:pPr>
    </w:p>
    <w:p w:rsidR="00612F80" w:rsidRDefault="00612F80" w:rsidP="002D56F5">
      <w:pPr>
        <w:ind w:right="-540"/>
        <w:rPr>
          <w:b/>
        </w:rPr>
      </w:pPr>
    </w:p>
    <w:p w:rsidR="00612F80" w:rsidRDefault="00612F80" w:rsidP="002D56F5">
      <w:pPr>
        <w:ind w:right="-540"/>
        <w:rPr>
          <w:b/>
        </w:rPr>
      </w:pPr>
    </w:p>
    <w:p w:rsidR="00612F80" w:rsidRDefault="00612F80" w:rsidP="002D56F5">
      <w:pPr>
        <w:ind w:right="-540"/>
        <w:rPr>
          <w:b/>
        </w:rPr>
      </w:pPr>
    </w:p>
    <w:p w:rsidR="00612F80" w:rsidRDefault="00612F80" w:rsidP="002D56F5">
      <w:pPr>
        <w:ind w:right="-540"/>
        <w:rPr>
          <w:b/>
        </w:rPr>
      </w:pPr>
    </w:p>
    <w:p w:rsidR="00612F80" w:rsidRDefault="00EA252D" w:rsidP="00EA252D">
      <w:pPr>
        <w:ind w:right="-540"/>
        <w:jc w:val="center"/>
        <w:rPr>
          <w:b/>
        </w:rPr>
      </w:pPr>
      <w:r>
        <w:rPr>
          <w:b/>
          <w:noProof/>
        </w:rPr>
        <w:drawing>
          <wp:inline distT="0" distB="0" distL="0" distR="0">
            <wp:extent cx="5274382" cy="3409950"/>
            <wp:effectExtent l="19050" t="0" r="2468" b="0"/>
            <wp:docPr id="4" name="Picture 4" descr="G:\OUTREACH Unit\Logos and Seals\Logos\images\OVW Logo PMS320_268_for SRC.ai_im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UTREACH Unit\Logos and Seals\Logos\images\OVW Logo PMS320_268_for SRC.ai_img_0.jpg"/>
                    <pic:cNvPicPr>
                      <a:picLocks noChangeAspect="1" noChangeArrowheads="1"/>
                    </pic:cNvPicPr>
                  </pic:nvPicPr>
                  <pic:blipFill>
                    <a:blip r:embed="rId8" cstate="print"/>
                    <a:srcRect/>
                    <a:stretch>
                      <a:fillRect/>
                    </a:stretch>
                  </pic:blipFill>
                  <pic:spPr bwMode="auto">
                    <a:xfrm>
                      <a:off x="0" y="0"/>
                      <a:ext cx="5274382" cy="3409950"/>
                    </a:xfrm>
                    <a:prstGeom prst="rect">
                      <a:avLst/>
                    </a:prstGeom>
                    <a:noFill/>
                    <a:ln w="9525">
                      <a:noFill/>
                      <a:miter lim="800000"/>
                      <a:headEnd/>
                      <a:tailEnd/>
                    </a:ln>
                  </pic:spPr>
                </pic:pic>
              </a:graphicData>
            </a:graphic>
          </wp:inline>
        </w:drawing>
      </w:r>
    </w:p>
    <w:p w:rsidR="00612F80" w:rsidRDefault="00612F80" w:rsidP="002D56F5">
      <w:pPr>
        <w:ind w:right="-540"/>
        <w:rPr>
          <w:b/>
        </w:rPr>
      </w:pPr>
    </w:p>
    <w:p w:rsidR="00612F80" w:rsidRDefault="00612F80" w:rsidP="002D56F5">
      <w:pPr>
        <w:ind w:right="-540"/>
        <w:rPr>
          <w:b/>
        </w:rPr>
      </w:pPr>
    </w:p>
    <w:p w:rsidR="00612F80" w:rsidRDefault="00612F80" w:rsidP="002D56F5">
      <w:pPr>
        <w:pStyle w:val="Footer"/>
        <w:tabs>
          <w:tab w:val="clear" w:pos="8640"/>
          <w:tab w:val="left" w:leader="dot" w:pos="4320"/>
        </w:tabs>
        <w:ind w:right="-540"/>
        <w:rPr>
          <w:rFonts w:ascii="Times New Roman" w:hAnsi="Times New Roman" w:cs="Arial"/>
          <w:b/>
          <w:sz w:val="36"/>
        </w:rPr>
      </w:pPr>
    </w:p>
    <w:p w:rsidR="00EA252D" w:rsidRDefault="00EA252D" w:rsidP="002D56F5">
      <w:pPr>
        <w:pStyle w:val="Footer"/>
        <w:tabs>
          <w:tab w:val="clear" w:pos="8640"/>
          <w:tab w:val="left" w:leader="dot" w:pos="4320"/>
        </w:tabs>
        <w:ind w:right="-540"/>
        <w:rPr>
          <w:rFonts w:ascii="Times New Roman" w:hAnsi="Times New Roman" w:cs="Arial"/>
          <w:b/>
          <w:sz w:val="36"/>
        </w:rPr>
      </w:pPr>
    </w:p>
    <w:p w:rsidR="00146DF0" w:rsidRDefault="000660B5" w:rsidP="000660B5">
      <w:pPr>
        <w:pStyle w:val="Footer"/>
        <w:tabs>
          <w:tab w:val="clear" w:pos="8640"/>
          <w:tab w:val="left" w:leader="dot" w:pos="4320"/>
        </w:tabs>
        <w:ind w:left="432" w:right="-1080"/>
        <w:jc w:val="both"/>
        <w:rPr>
          <w:i/>
        </w:rPr>
      </w:pPr>
      <w:r>
        <w:rPr>
          <w:i/>
        </w:rPr>
        <w:tab/>
      </w:r>
      <w:r w:rsidR="00612F80">
        <w:rPr>
          <w:i/>
        </w:rPr>
        <w:tab/>
      </w:r>
      <w:r w:rsidR="00612F80">
        <w:rPr>
          <w:i/>
        </w:rPr>
        <w:tab/>
      </w:r>
      <w:r w:rsidR="00612F80">
        <w:rPr>
          <w:i/>
        </w:rPr>
        <w:tab/>
      </w:r>
      <w:r w:rsidR="00612F80">
        <w:rPr>
          <w:i/>
        </w:rPr>
        <w:tab/>
      </w:r>
    </w:p>
    <w:p w:rsidR="00612F80" w:rsidRPr="00F90A76" w:rsidRDefault="00146DF0" w:rsidP="000660B5">
      <w:pPr>
        <w:pStyle w:val="Footer"/>
        <w:tabs>
          <w:tab w:val="clear" w:pos="8640"/>
          <w:tab w:val="left" w:leader="dot" w:pos="4320"/>
        </w:tabs>
        <w:ind w:left="432" w:right="-1080"/>
        <w:jc w:val="both"/>
        <w:rPr>
          <w:rFonts w:ascii="Times New Roman" w:hAnsi="Times New Roman" w:cs="Arial"/>
          <w:b/>
          <w:sz w:val="36"/>
        </w:rPr>
      </w:pPr>
      <w:r>
        <w:rPr>
          <w:i/>
        </w:rPr>
        <w:tab/>
      </w:r>
      <w:r>
        <w:rPr>
          <w:i/>
        </w:rPr>
        <w:tab/>
      </w:r>
      <w:r>
        <w:rPr>
          <w:i/>
        </w:rPr>
        <w:tab/>
      </w:r>
      <w:r>
        <w:rPr>
          <w:i/>
        </w:rPr>
        <w:tab/>
      </w:r>
      <w:r>
        <w:rPr>
          <w:i/>
        </w:rPr>
        <w:tab/>
      </w:r>
      <w:r w:rsidR="003E07F8">
        <w:rPr>
          <w:rFonts w:ascii="Times New Roman" w:hAnsi="Times New Roman" w:cs="Arial"/>
          <w:i/>
          <w:sz w:val="28"/>
          <w:szCs w:val="28"/>
        </w:rPr>
        <w:t>Congressional</w:t>
      </w:r>
      <w:r w:rsidR="00D14ACA">
        <w:rPr>
          <w:rFonts w:ascii="Times New Roman" w:hAnsi="Times New Roman" w:cs="Arial"/>
          <w:i/>
          <w:sz w:val="28"/>
          <w:szCs w:val="28"/>
        </w:rPr>
        <w:t xml:space="preserve"> Submission</w:t>
      </w:r>
    </w:p>
    <w:p w:rsidR="00612F80" w:rsidRPr="00F90A76" w:rsidRDefault="00146DF0" w:rsidP="00146DF0">
      <w:pPr>
        <w:ind w:left="6480" w:right="-1080"/>
        <w:rPr>
          <w:i/>
          <w:sz w:val="28"/>
          <w:szCs w:val="28"/>
        </w:rPr>
        <w:sectPr w:rsidR="00612F80" w:rsidRPr="00F90A76" w:rsidSect="006A30E2">
          <w:footerReference w:type="even" r:id="rId9"/>
          <w:footerReference w:type="default" r:id="rId10"/>
          <w:pgSz w:w="12240" w:h="15840"/>
          <w:pgMar w:top="1152" w:right="1440" w:bottom="1152" w:left="1440" w:header="432" w:footer="432" w:gutter="0"/>
          <w:pgNumType w:start="0"/>
          <w:cols w:space="720"/>
          <w:titlePg/>
        </w:sectPr>
      </w:pPr>
      <w:r>
        <w:rPr>
          <w:rFonts w:cs="Arial"/>
          <w:i/>
          <w:sz w:val="28"/>
          <w:szCs w:val="28"/>
        </w:rPr>
        <w:t xml:space="preserve">    </w:t>
      </w:r>
      <w:r w:rsidR="00734B60">
        <w:rPr>
          <w:rFonts w:cs="Arial"/>
          <w:i/>
          <w:sz w:val="28"/>
          <w:szCs w:val="28"/>
        </w:rPr>
        <w:t xml:space="preserve">   February 8</w:t>
      </w:r>
      <w:r w:rsidR="009C0A41">
        <w:rPr>
          <w:rFonts w:cs="Arial"/>
          <w:i/>
          <w:sz w:val="28"/>
          <w:szCs w:val="28"/>
        </w:rPr>
        <w:t>, 201</w:t>
      </w:r>
      <w:r w:rsidR="003E07F8">
        <w:rPr>
          <w:rFonts w:cs="Arial"/>
          <w:i/>
          <w:sz w:val="28"/>
          <w:szCs w:val="28"/>
        </w:rPr>
        <w:t>2</w:t>
      </w:r>
    </w:p>
    <w:p w:rsidR="00612F80" w:rsidRDefault="00612F80" w:rsidP="002D56F5">
      <w:pPr>
        <w:pStyle w:val="Heading1"/>
        <w:tabs>
          <w:tab w:val="left" w:leader="dot" w:pos="7920"/>
          <w:tab w:val="right" w:pos="8640"/>
        </w:tabs>
        <w:ind w:right="-540"/>
        <w:rPr>
          <w:rFonts w:ascii="Times New Roman" w:hAnsi="Times New Roman"/>
        </w:rPr>
      </w:pPr>
    </w:p>
    <w:p w:rsidR="00612F80" w:rsidRDefault="00612F80" w:rsidP="002D56F5">
      <w:pPr>
        <w:pStyle w:val="Heading1"/>
        <w:tabs>
          <w:tab w:val="left" w:leader="dot" w:pos="7920"/>
          <w:tab w:val="right" w:pos="8640"/>
        </w:tabs>
        <w:ind w:right="-540"/>
        <w:rPr>
          <w:rFonts w:ascii="Times New Roman" w:hAnsi="Times New Roman"/>
        </w:rPr>
      </w:pPr>
    </w:p>
    <w:p w:rsidR="00612F80" w:rsidRDefault="00612F80" w:rsidP="002D56F5">
      <w:pPr>
        <w:pStyle w:val="Heading1"/>
        <w:tabs>
          <w:tab w:val="left" w:leader="dot" w:pos="7920"/>
          <w:tab w:val="right" w:pos="8640"/>
        </w:tabs>
        <w:ind w:right="-540"/>
        <w:rPr>
          <w:rFonts w:ascii="Times New Roman" w:hAnsi="Times New Roman"/>
        </w:rPr>
      </w:pPr>
    </w:p>
    <w:p w:rsidR="00612F80" w:rsidRDefault="00612F80" w:rsidP="002D56F5">
      <w:pPr>
        <w:pStyle w:val="Heading1"/>
        <w:tabs>
          <w:tab w:val="left" w:leader="dot" w:pos="7920"/>
          <w:tab w:val="right" w:pos="8640"/>
        </w:tabs>
        <w:ind w:right="-540"/>
        <w:rPr>
          <w:rFonts w:ascii="Times New Roman" w:hAnsi="Times New Roman"/>
        </w:rPr>
      </w:pPr>
    </w:p>
    <w:p w:rsidR="00146DF0" w:rsidRDefault="00146DF0" w:rsidP="00146DF0"/>
    <w:p w:rsidR="00146DF0" w:rsidRPr="00146DF0" w:rsidRDefault="00146DF0" w:rsidP="00146DF0"/>
    <w:p w:rsidR="00612F80" w:rsidRDefault="00612F80" w:rsidP="002D56F5">
      <w:pPr>
        <w:pStyle w:val="Heading1"/>
        <w:tabs>
          <w:tab w:val="left" w:leader="dot" w:pos="7920"/>
          <w:tab w:val="right" w:pos="8640"/>
        </w:tabs>
        <w:ind w:right="-540"/>
        <w:rPr>
          <w:rFonts w:ascii="Times New Roman" w:hAnsi="Times New Roman"/>
        </w:rPr>
      </w:pPr>
    </w:p>
    <w:p w:rsidR="00612F80" w:rsidRDefault="00612F80" w:rsidP="002D56F5">
      <w:pPr>
        <w:pStyle w:val="Heading1"/>
        <w:tabs>
          <w:tab w:val="left" w:leader="dot" w:pos="7920"/>
          <w:tab w:val="right" w:pos="8640"/>
        </w:tabs>
        <w:ind w:right="-540"/>
        <w:rPr>
          <w:rFonts w:ascii="Times New Roman" w:hAnsi="Times New Roman"/>
        </w:rPr>
      </w:pPr>
      <w:r>
        <w:rPr>
          <w:rFonts w:ascii="Times New Roman" w:hAnsi="Times New Roman"/>
        </w:rPr>
        <w:t>Table of Contents</w:t>
      </w:r>
    </w:p>
    <w:p w:rsidR="00612F80" w:rsidRDefault="00612F80" w:rsidP="002D56F5">
      <w:pPr>
        <w:tabs>
          <w:tab w:val="left" w:leader="dot" w:pos="7920"/>
          <w:tab w:val="right" w:pos="8640"/>
        </w:tabs>
        <w:ind w:right="-540"/>
        <w:rPr>
          <w:b/>
        </w:rPr>
      </w:pPr>
    </w:p>
    <w:p w:rsidR="00612F80" w:rsidRDefault="00612F80" w:rsidP="002D56F5">
      <w:pPr>
        <w:pStyle w:val="xl19"/>
        <w:tabs>
          <w:tab w:val="right" w:pos="8730"/>
        </w:tabs>
        <w:spacing w:before="0" w:after="0"/>
        <w:ind w:right="-540"/>
        <w:outlineLvl w:val="0"/>
        <w:rPr>
          <w:bCs/>
        </w:rPr>
      </w:pPr>
      <w:r>
        <w:rPr>
          <w:bCs/>
        </w:rPr>
        <w:tab/>
        <w:t>Page No.</w:t>
      </w:r>
    </w:p>
    <w:p w:rsidR="003E07F8" w:rsidRDefault="003E07F8" w:rsidP="003E07F8">
      <w:pPr>
        <w:pStyle w:val="xl19"/>
        <w:tabs>
          <w:tab w:val="right" w:pos="8730"/>
        </w:tabs>
        <w:spacing w:before="0" w:after="0"/>
        <w:ind w:right="-540"/>
        <w:outlineLvl w:val="0"/>
        <w:rPr>
          <w:bCs/>
        </w:rPr>
      </w:pPr>
    </w:p>
    <w:p w:rsidR="003E07F8" w:rsidRDefault="003E07F8" w:rsidP="003E07F8">
      <w:pPr>
        <w:pStyle w:val="xl19"/>
        <w:tabs>
          <w:tab w:val="right" w:pos="8730"/>
        </w:tabs>
        <w:spacing w:before="0" w:after="0"/>
        <w:ind w:right="-540"/>
        <w:outlineLvl w:val="0"/>
        <w:rPr>
          <w:bCs/>
        </w:rPr>
      </w:pPr>
      <w:r w:rsidRPr="003E07F8">
        <w:rPr>
          <w:b/>
          <w:bCs/>
        </w:rPr>
        <w:t>I</w:t>
      </w:r>
      <w:r w:rsidRPr="003E07F8">
        <w:rPr>
          <w:bCs/>
        </w:rPr>
        <w:t>.</w:t>
      </w:r>
      <w:r w:rsidRPr="003E07F8">
        <w:rPr>
          <w:b/>
          <w:bCs/>
        </w:rPr>
        <w:t xml:space="preserve"> </w:t>
      </w:r>
      <w:r>
        <w:rPr>
          <w:b/>
          <w:bCs/>
        </w:rPr>
        <w:t xml:space="preserve"> </w:t>
      </w:r>
      <w:r w:rsidRPr="003E07F8">
        <w:rPr>
          <w:b/>
          <w:bCs/>
        </w:rPr>
        <w:t>Overview</w:t>
      </w:r>
    </w:p>
    <w:p w:rsidR="00612F80" w:rsidRPr="00E0065D" w:rsidRDefault="00612F80" w:rsidP="002D56F5">
      <w:pPr>
        <w:pStyle w:val="xl19"/>
        <w:tabs>
          <w:tab w:val="right" w:pos="8730"/>
        </w:tabs>
        <w:spacing w:before="0" w:after="0"/>
        <w:ind w:right="-540" w:firstLine="720"/>
        <w:outlineLvl w:val="0"/>
        <w:rPr>
          <w:b/>
          <w:bCs/>
        </w:rPr>
      </w:pPr>
    </w:p>
    <w:p w:rsidR="00612F80" w:rsidRDefault="003E07F8" w:rsidP="002D56F5">
      <w:pPr>
        <w:pStyle w:val="xl19"/>
        <w:tabs>
          <w:tab w:val="right" w:leader="dot" w:pos="7920"/>
          <w:tab w:val="right" w:leader="dot" w:pos="8730"/>
        </w:tabs>
        <w:spacing w:before="0" w:after="0"/>
        <w:ind w:right="-540"/>
        <w:outlineLvl w:val="0"/>
        <w:rPr>
          <w:b/>
          <w:bCs/>
        </w:rPr>
      </w:pPr>
      <w:r>
        <w:rPr>
          <w:b/>
          <w:bCs/>
        </w:rPr>
        <w:t>I</w:t>
      </w:r>
      <w:r w:rsidR="00612F80" w:rsidRPr="00E0065D">
        <w:rPr>
          <w:b/>
          <w:bCs/>
        </w:rPr>
        <w:t>I</w:t>
      </w:r>
      <w:r w:rsidR="00113E8C">
        <w:rPr>
          <w:b/>
          <w:bCs/>
        </w:rPr>
        <w:t>.</w:t>
      </w:r>
      <w:r w:rsidR="00612F80" w:rsidRPr="00E0065D">
        <w:rPr>
          <w:b/>
          <w:bCs/>
        </w:rPr>
        <w:t xml:space="preserve">   Summary of Program Changes</w:t>
      </w:r>
      <w:r w:rsidR="00612F80">
        <w:rPr>
          <w:b/>
          <w:bCs/>
        </w:rPr>
        <w:tab/>
      </w:r>
      <w:r w:rsidR="00925A3D">
        <w:rPr>
          <w:b/>
          <w:bCs/>
        </w:rPr>
        <w:t xml:space="preserve"> </w:t>
      </w:r>
      <w:r w:rsidR="0093539F">
        <w:rPr>
          <w:b/>
          <w:bCs/>
        </w:rPr>
        <w:t>4</w:t>
      </w:r>
    </w:p>
    <w:p w:rsidR="00051E78" w:rsidRDefault="00051E78" w:rsidP="002D56F5">
      <w:pPr>
        <w:pStyle w:val="xl19"/>
        <w:tabs>
          <w:tab w:val="right" w:leader="dot" w:pos="7920"/>
          <w:tab w:val="right" w:leader="dot" w:pos="8730"/>
        </w:tabs>
        <w:spacing w:before="0" w:after="0"/>
        <w:ind w:right="-540"/>
        <w:outlineLvl w:val="0"/>
        <w:rPr>
          <w:b/>
          <w:bCs/>
        </w:rPr>
      </w:pPr>
    </w:p>
    <w:p w:rsidR="00051E78" w:rsidRDefault="00051E78" w:rsidP="002D56F5">
      <w:pPr>
        <w:pStyle w:val="xl19"/>
        <w:tabs>
          <w:tab w:val="right" w:leader="dot" w:pos="7920"/>
          <w:tab w:val="right" w:leader="dot" w:pos="8730"/>
        </w:tabs>
        <w:spacing w:before="0" w:after="0"/>
        <w:ind w:right="-540"/>
        <w:outlineLvl w:val="0"/>
        <w:rPr>
          <w:b/>
          <w:bCs/>
        </w:rPr>
      </w:pPr>
      <w:r>
        <w:rPr>
          <w:b/>
          <w:bCs/>
        </w:rPr>
        <w:t>I</w:t>
      </w:r>
      <w:r w:rsidR="003E07F8">
        <w:rPr>
          <w:b/>
          <w:bCs/>
        </w:rPr>
        <w:t>I</w:t>
      </w:r>
      <w:r>
        <w:rPr>
          <w:b/>
          <w:bCs/>
        </w:rPr>
        <w:t xml:space="preserve">I.  Appropriations Language and Analysis of Appropriations Language  - </w:t>
      </w:r>
      <w:r w:rsidR="00F352C4">
        <w:rPr>
          <w:b/>
          <w:bCs/>
        </w:rPr>
        <w:t>5</w:t>
      </w:r>
    </w:p>
    <w:p w:rsidR="002962CD" w:rsidRDefault="002962CD" w:rsidP="002D56F5">
      <w:pPr>
        <w:pStyle w:val="xl19"/>
        <w:tabs>
          <w:tab w:val="right" w:leader="dot" w:pos="7920"/>
          <w:tab w:val="right" w:leader="dot" w:pos="8730"/>
        </w:tabs>
        <w:spacing w:before="0" w:after="0"/>
        <w:ind w:right="-540"/>
        <w:outlineLvl w:val="0"/>
        <w:rPr>
          <w:b/>
          <w:bCs/>
        </w:rPr>
      </w:pPr>
    </w:p>
    <w:p w:rsidR="00612F80" w:rsidRDefault="00051E78" w:rsidP="002D56F5">
      <w:pPr>
        <w:pStyle w:val="xl27"/>
        <w:tabs>
          <w:tab w:val="left" w:leader="dot" w:pos="7920"/>
          <w:tab w:val="right" w:pos="8640"/>
        </w:tabs>
        <w:spacing w:before="0" w:after="0"/>
        <w:ind w:right="-540"/>
        <w:rPr>
          <w:bCs/>
        </w:rPr>
      </w:pPr>
      <w:r>
        <w:rPr>
          <w:rFonts w:ascii="Times New Roman" w:hAnsi="Times New Roman"/>
        </w:rPr>
        <w:t>I</w:t>
      </w:r>
      <w:r w:rsidR="003E07F8">
        <w:rPr>
          <w:rFonts w:ascii="Times New Roman" w:hAnsi="Times New Roman"/>
        </w:rPr>
        <w:t>V</w:t>
      </w:r>
      <w:r w:rsidR="00612F80" w:rsidRPr="005D21D2">
        <w:rPr>
          <w:rFonts w:ascii="Times New Roman" w:hAnsi="Times New Roman"/>
        </w:rPr>
        <w:t xml:space="preserve">.  Decision Unit </w:t>
      </w:r>
      <w:r w:rsidR="009471FA">
        <w:rPr>
          <w:rFonts w:ascii="Times New Roman" w:hAnsi="Times New Roman"/>
        </w:rPr>
        <w:t>Performance Information</w:t>
      </w:r>
      <w:r w:rsidR="00612F80" w:rsidRPr="002766ED">
        <w:rPr>
          <w:rFonts w:ascii="Times New Roman" w:hAnsi="Times New Roman"/>
          <w:bCs/>
        </w:rPr>
        <w:t>…………………………………</w:t>
      </w:r>
      <w:r w:rsidR="00925A3D">
        <w:rPr>
          <w:rFonts w:ascii="Times New Roman" w:hAnsi="Times New Roman"/>
          <w:bCs/>
        </w:rPr>
        <w:t xml:space="preserve"> </w:t>
      </w:r>
      <w:r w:rsidR="00F352C4">
        <w:rPr>
          <w:rFonts w:ascii="Times New Roman" w:hAnsi="Times New Roman"/>
          <w:bCs/>
        </w:rPr>
        <w:t>8</w:t>
      </w:r>
    </w:p>
    <w:p w:rsidR="00612F80" w:rsidRDefault="00612F80" w:rsidP="002D56F5">
      <w:pPr>
        <w:tabs>
          <w:tab w:val="left" w:leader="dot" w:pos="7920"/>
          <w:tab w:val="right" w:pos="8640"/>
        </w:tabs>
        <w:ind w:right="-540"/>
        <w:rPr>
          <w:bCs/>
        </w:rPr>
      </w:pPr>
      <w:r>
        <w:rPr>
          <w:bCs/>
        </w:rPr>
        <w:t xml:space="preserve">     A. Prevention and Prosecution of Violence Against Women and Related Victim Services Program</w:t>
      </w:r>
    </w:p>
    <w:p w:rsidR="00612F80" w:rsidRPr="002766ED" w:rsidRDefault="00612F80" w:rsidP="002D56F5">
      <w:pPr>
        <w:tabs>
          <w:tab w:val="left" w:leader="dot" w:pos="7920"/>
          <w:tab w:val="right" w:pos="8640"/>
        </w:tabs>
        <w:ind w:right="-540"/>
        <w:rPr>
          <w:b/>
          <w:bCs/>
        </w:rPr>
      </w:pPr>
      <w:r>
        <w:rPr>
          <w:bCs/>
        </w:rPr>
        <w:t xml:space="preserve">           1.  Program Description</w:t>
      </w:r>
      <w:r w:rsidRPr="002766ED">
        <w:rPr>
          <w:b/>
          <w:bCs/>
        </w:rPr>
        <w:t>…………………………………………………</w:t>
      </w:r>
      <w:r w:rsidR="004121F5">
        <w:rPr>
          <w:b/>
          <w:bCs/>
        </w:rPr>
        <w:t>.</w:t>
      </w:r>
      <w:r w:rsidRPr="002766ED">
        <w:rPr>
          <w:b/>
          <w:bCs/>
        </w:rPr>
        <w:t xml:space="preserve"> </w:t>
      </w:r>
      <w:r w:rsidR="00925A3D">
        <w:rPr>
          <w:b/>
          <w:bCs/>
        </w:rPr>
        <w:t xml:space="preserve">  </w:t>
      </w:r>
      <w:r w:rsidR="00F352C4">
        <w:rPr>
          <w:b/>
          <w:bCs/>
        </w:rPr>
        <w:t>9</w:t>
      </w:r>
    </w:p>
    <w:p w:rsidR="00612F80" w:rsidRDefault="00612F80" w:rsidP="002D56F5">
      <w:pPr>
        <w:tabs>
          <w:tab w:val="left" w:leader="dot" w:pos="7920"/>
          <w:tab w:val="right" w:pos="8640"/>
        </w:tabs>
        <w:ind w:right="-540"/>
        <w:rPr>
          <w:bCs/>
        </w:rPr>
      </w:pPr>
      <w:r>
        <w:rPr>
          <w:bCs/>
        </w:rPr>
        <w:t xml:space="preserve">           2.  Performance Tables</w:t>
      </w:r>
      <w:r w:rsidRPr="002766ED">
        <w:rPr>
          <w:b/>
          <w:bCs/>
        </w:rPr>
        <w:t>…………………………………………………</w:t>
      </w:r>
      <w:r w:rsidR="00925A3D">
        <w:rPr>
          <w:b/>
          <w:bCs/>
        </w:rPr>
        <w:t xml:space="preserve">..  </w:t>
      </w:r>
      <w:r w:rsidR="0093539F">
        <w:rPr>
          <w:b/>
          <w:bCs/>
        </w:rPr>
        <w:t>20</w:t>
      </w:r>
    </w:p>
    <w:p w:rsidR="00612F80" w:rsidRDefault="00612F80" w:rsidP="002D56F5">
      <w:pPr>
        <w:tabs>
          <w:tab w:val="left" w:leader="dot" w:pos="7920"/>
          <w:tab w:val="right" w:pos="8640"/>
        </w:tabs>
        <w:ind w:right="-540"/>
        <w:rPr>
          <w:bCs/>
        </w:rPr>
      </w:pPr>
      <w:r>
        <w:rPr>
          <w:bCs/>
        </w:rPr>
        <w:t xml:space="preserve">           3.  </w:t>
      </w:r>
      <w:r>
        <w:t>Performance, Resources, and Strategies</w:t>
      </w:r>
      <w:r w:rsidRPr="002766ED">
        <w:rPr>
          <w:b/>
        </w:rPr>
        <w:t>………………………………</w:t>
      </w:r>
      <w:r w:rsidR="00925A3D">
        <w:rPr>
          <w:b/>
        </w:rPr>
        <w:t xml:space="preserve"> </w:t>
      </w:r>
      <w:r w:rsidR="00F25FC2">
        <w:rPr>
          <w:b/>
        </w:rPr>
        <w:t>2</w:t>
      </w:r>
      <w:r w:rsidR="00F352C4">
        <w:rPr>
          <w:b/>
        </w:rPr>
        <w:t>4</w:t>
      </w:r>
      <w:r w:rsidR="00F25FC2">
        <w:rPr>
          <w:b/>
        </w:rPr>
        <w:t xml:space="preserve"> </w:t>
      </w:r>
    </w:p>
    <w:p w:rsidR="00612F80" w:rsidRDefault="00612F80" w:rsidP="002D56F5">
      <w:pPr>
        <w:tabs>
          <w:tab w:val="left" w:leader="dot" w:pos="7920"/>
          <w:tab w:val="right" w:pos="8640"/>
        </w:tabs>
        <w:ind w:right="-540"/>
        <w:rPr>
          <w:bCs/>
        </w:rPr>
      </w:pPr>
      <w:r>
        <w:rPr>
          <w:bCs/>
        </w:rPr>
        <w:t xml:space="preserve">   </w:t>
      </w:r>
    </w:p>
    <w:p w:rsidR="00612F80" w:rsidRDefault="00051E78" w:rsidP="002D56F5">
      <w:pPr>
        <w:pStyle w:val="xl27"/>
        <w:tabs>
          <w:tab w:val="left" w:leader="dot" w:pos="7920"/>
          <w:tab w:val="right" w:pos="8640"/>
        </w:tabs>
        <w:spacing w:before="0" w:after="0"/>
        <w:ind w:right="-540"/>
        <w:rPr>
          <w:rFonts w:ascii="Times New Roman" w:hAnsi="Times New Roman" w:cs="Arial"/>
          <w:b w:val="0"/>
          <w:bCs/>
          <w:szCs w:val="24"/>
        </w:rPr>
      </w:pPr>
      <w:r>
        <w:rPr>
          <w:rFonts w:ascii="Times New Roman" w:hAnsi="Times New Roman" w:cs="Arial"/>
          <w:szCs w:val="24"/>
        </w:rPr>
        <w:t>V</w:t>
      </w:r>
      <w:r w:rsidR="00612F80">
        <w:rPr>
          <w:rFonts w:ascii="Times New Roman" w:hAnsi="Times New Roman" w:cs="Arial"/>
          <w:szCs w:val="24"/>
        </w:rPr>
        <w:t>. Program Increases by Item</w:t>
      </w:r>
      <w:r w:rsidR="00612F80">
        <w:rPr>
          <w:rFonts w:ascii="Times New Roman" w:hAnsi="Times New Roman"/>
          <w:bCs/>
        </w:rPr>
        <w:t>………………………………………………….</w:t>
      </w:r>
      <w:r w:rsidR="00F25FC2">
        <w:rPr>
          <w:rFonts w:ascii="Times New Roman" w:hAnsi="Times New Roman"/>
          <w:bCs/>
        </w:rPr>
        <w:t>2</w:t>
      </w:r>
      <w:r w:rsidR="00F352C4">
        <w:rPr>
          <w:rFonts w:ascii="Times New Roman" w:hAnsi="Times New Roman"/>
          <w:bCs/>
        </w:rPr>
        <w:t>6</w:t>
      </w:r>
    </w:p>
    <w:p w:rsidR="00612F80" w:rsidRDefault="00612F80" w:rsidP="002D56F5">
      <w:pPr>
        <w:pStyle w:val="xl27"/>
        <w:tabs>
          <w:tab w:val="left" w:leader="dot" w:pos="7920"/>
          <w:tab w:val="right" w:pos="8640"/>
        </w:tabs>
        <w:spacing w:before="0" w:after="0"/>
        <w:ind w:right="-540"/>
        <w:rPr>
          <w:rFonts w:ascii="Times New Roman" w:hAnsi="Times New Roman" w:cs="Arial"/>
          <w:b w:val="0"/>
          <w:bCs/>
          <w:szCs w:val="24"/>
        </w:rPr>
      </w:pPr>
    </w:p>
    <w:p w:rsidR="00612F80" w:rsidRDefault="00612F80" w:rsidP="002D56F5">
      <w:pPr>
        <w:tabs>
          <w:tab w:val="left" w:leader="dot" w:pos="7920"/>
          <w:tab w:val="right" w:pos="8640"/>
        </w:tabs>
        <w:ind w:right="-540"/>
        <w:rPr>
          <w:bCs/>
        </w:rPr>
      </w:pPr>
      <w:r>
        <w:rPr>
          <w:bCs/>
        </w:rPr>
        <w:t xml:space="preserve">  </w:t>
      </w:r>
    </w:p>
    <w:p w:rsidR="00612F80" w:rsidRPr="00CA09EF" w:rsidRDefault="00051E78" w:rsidP="002D56F5">
      <w:pPr>
        <w:tabs>
          <w:tab w:val="left" w:leader="dot" w:pos="7920"/>
          <w:tab w:val="right" w:pos="8640"/>
        </w:tabs>
        <w:ind w:right="-540"/>
        <w:rPr>
          <w:b/>
          <w:bCs/>
        </w:rPr>
      </w:pPr>
      <w:r>
        <w:rPr>
          <w:b/>
          <w:bCs/>
        </w:rPr>
        <w:t>V</w:t>
      </w:r>
      <w:r w:rsidR="003E07F8">
        <w:rPr>
          <w:b/>
          <w:bCs/>
        </w:rPr>
        <w:t>I</w:t>
      </w:r>
      <w:r w:rsidR="00612F80">
        <w:rPr>
          <w:b/>
          <w:bCs/>
        </w:rPr>
        <w:t xml:space="preserve">. </w:t>
      </w:r>
      <w:r w:rsidR="00612F80" w:rsidRPr="00CA09EF">
        <w:rPr>
          <w:b/>
          <w:bCs/>
        </w:rPr>
        <w:t>Program Offsets by Item</w:t>
      </w:r>
      <w:r w:rsidR="00612F80" w:rsidRPr="00CA09EF">
        <w:rPr>
          <w:b/>
          <w:bCs/>
        </w:rPr>
        <w:tab/>
      </w:r>
      <w:r w:rsidR="00F352C4">
        <w:rPr>
          <w:b/>
          <w:bCs/>
        </w:rPr>
        <w:t>27</w:t>
      </w:r>
    </w:p>
    <w:p w:rsidR="00612F80" w:rsidRDefault="00612F80" w:rsidP="002D56F5">
      <w:pPr>
        <w:tabs>
          <w:tab w:val="left" w:leader="dot" w:pos="7920"/>
          <w:tab w:val="right" w:pos="8640"/>
        </w:tabs>
        <w:ind w:right="-540"/>
        <w:rPr>
          <w:bCs/>
        </w:rPr>
      </w:pPr>
    </w:p>
    <w:p w:rsidR="00612F80" w:rsidRDefault="00612F80" w:rsidP="002D56F5">
      <w:pPr>
        <w:tabs>
          <w:tab w:val="left" w:leader="dot" w:pos="7920"/>
          <w:tab w:val="right" w:pos="8640"/>
        </w:tabs>
        <w:ind w:right="-540"/>
        <w:rPr>
          <w:bCs/>
        </w:rPr>
      </w:pPr>
    </w:p>
    <w:p w:rsidR="00612F80" w:rsidRDefault="00051E78" w:rsidP="002D56F5">
      <w:pPr>
        <w:pStyle w:val="xl27"/>
        <w:tabs>
          <w:tab w:val="left" w:leader="dot" w:pos="7920"/>
          <w:tab w:val="right" w:pos="8640"/>
        </w:tabs>
        <w:spacing w:before="0" w:after="0"/>
        <w:ind w:right="-540"/>
        <w:rPr>
          <w:rFonts w:ascii="Times New Roman" w:hAnsi="Times New Roman"/>
          <w:bCs/>
          <w:szCs w:val="24"/>
        </w:rPr>
      </w:pPr>
      <w:r>
        <w:rPr>
          <w:rFonts w:ascii="Times New Roman" w:hAnsi="Times New Roman"/>
          <w:bCs/>
          <w:szCs w:val="24"/>
        </w:rPr>
        <w:t>V</w:t>
      </w:r>
      <w:r w:rsidR="003E07F8">
        <w:rPr>
          <w:rFonts w:ascii="Times New Roman" w:hAnsi="Times New Roman"/>
          <w:bCs/>
          <w:szCs w:val="24"/>
        </w:rPr>
        <w:t>I</w:t>
      </w:r>
      <w:r>
        <w:rPr>
          <w:rFonts w:ascii="Times New Roman" w:hAnsi="Times New Roman"/>
          <w:bCs/>
          <w:szCs w:val="24"/>
        </w:rPr>
        <w:t>I</w:t>
      </w:r>
      <w:r w:rsidR="00612F80">
        <w:rPr>
          <w:rFonts w:ascii="Times New Roman" w:hAnsi="Times New Roman"/>
          <w:bCs/>
          <w:szCs w:val="24"/>
        </w:rPr>
        <w:t>. Exhibits</w:t>
      </w:r>
      <w:r w:rsidR="00612F80">
        <w:rPr>
          <w:rFonts w:ascii="Times New Roman" w:hAnsi="Times New Roman"/>
          <w:bCs/>
          <w:szCs w:val="24"/>
        </w:rPr>
        <w:tab/>
      </w:r>
    </w:p>
    <w:p w:rsidR="00612F80" w:rsidRDefault="00612F80" w:rsidP="002D56F5">
      <w:pPr>
        <w:tabs>
          <w:tab w:val="left" w:leader="dot" w:pos="7920"/>
          <w:tab w:val="right" w:pos="8640"/>
        </w:tabs>
        <w:ind w:right="-540"/>
        <w:outlineLvl w:val="0"/>
        <w:rPr>
          <w:b/>
          <w:bCs/>
        </w:rPr>
      </w:pPr>
    </w:p>
    <w:p w:rsidR="00612F80" w:rsidRDefault="00612F80" w:rsidP="004B44EF">
      <w:pPr>
        <w:numPr>
          <w:ilvl w:val="0"/>
          <w:numId w:val="9"/>
        </w:numPr>
        <w:tabs>
          <w:tab w:val="left" w:leader="dot" w:pos="7920"/>
          <w:tab w:val="right" w:pos="8640"/>
        </w:tabs>
        <w:outlineLvl w:val="0"/>
        <w:rPr>
          <w:bCs/>
        </w:rPr>
      </w:pPr>
      <w:r>
        <w:t>Organizational Chart</w:t>
      </w:r>
    </w:p>
    <w:p w:rsidR="00612F80" w:rsidRDefault="00612F80" w:rsidP="004B44EF">
      <w:pPr>
        <w:pStyle w:val="xl19"/>
        <w:tabs>
          <w:tab w:val="left" w:leader="dot" w:pos="7920"/>
          <w:tab w:val="right" w:pos="8640"/>
        </w:tabs>
        <w:spacing w:before="0" w:after="0"/>
        <w:ind w:left="360"/>
        <w:rPr>
          <w:bCs/>
        </w:rPr>
      </w:pPr>
      <w:r>
        <w:rPr>
          <w:bCs/>
        </w:rPr>
        <w:t xml:space="preserve">B.  Summary of Requirements </w:t>
      </w:r>
    </w:p>
    <w:p w:rsidR="00612F80" w:rsidRDefault="00612F80" w:rsidP="004B44EF">
      <w:pPr>
        <w:tabs>
          <w:tab w:val="left" w:leader="dot" w:pos="7920"/>
          <w:tab w:val="right" w:pos="8640"/>
        </w:tabs>
        <w:ind w:left="360"/>
        <w:rPr>
          <w:bCs/>
        </w:rPr>
      </w:pPr>
      <w:r>
        <w:rPr>
          <w:bCs/>
        </w:rPr>
        <w:t xml:space="preserve">C.  </w:t>
      </w:r>
      <w:r w:rsidR="00024AFC">
        <w:rPr>
          <w:bCs/>
        </w:rPr>
        <w:t xml:space="preserve">FY 2013 </w:t>
      </w:r>
      <w:r>
        <w:rPr>
          <w:bCs/>
        </w:rPr>
        <w:t>Program Increases by Decision Unit</w:t>
      </w:r>
    </w:p>
    <w:p w:rsidR="00612F80" w:rsidRPr="00792186" w:rsidRDefault="00612F80" w:rsidP="004B44EF">
      <w:pPr>
        <w:numPr>
          <w:ilvl w:val="0"/>
          <w:numId w:val="10"/>
        </w:numPr>
        <w:tabs>
          <w:tab w:val="left" w:leader="dot" w:pos="7920"/>
          <w:tab w:val="right" w:pos="8640"/>
        </w:tabs>
        <w:rPr>
          <w:bCs/>
        </w:rPr>
      </w:pPr>
      <w:r w:rsidRPr="00792186">
        <w:rPr>
          <w:bCs/>
        </w:rPr>
        <w:t>Resources by DOJ Strategic Goal</w:t>
      </w:r>
      <w:r w:rsidR="00024AFC">
        <w:rPr>
          <w:bCs/>
        </w:rPr>
        <w:t xml:space="preserve"> and Strategic </w:t>
      </w:r>
      <w:r w:rsidRPr="00792186">
        <w:rPr>
          <w:bCs/>
        </w:rPr>
        <w:t>Objective</w:t>
      </w:r>
    </w:p>
    <w:p w:rsidR="00612F80" w:rsidRDefault="00612F80" w:rsidP="004B44EF">
      <w:pPr>
        <w:numPr>
          <w:ilvl w:val="0"/>
          <w:numId w:val="10"/>
        </w:numPr>
        <w:tabs>
          <w:tab w:val="left" w:leader="dot" w:pos="7920"/>
          <w:tab w:val="right" w:pos="8640"/>
        </w:tabs>
        <w:rPr>
          <w:bCs/>
        </w:rPr>
      </w:pPr>
      <w:r>
        <w:rPr>
          <w:bCs/>
        </w:rPr>
        <w:t>Justification for Base Adjustments</w:t>
      </w:r>
    </w:p>
    <w:p w:rsidR="00612F80" w:rsidRDefault="00612F80" w:rsidP="004B44EF">
      <w:pPr>
        <w:numPr>
          <w:ilvl w:val="0"/>
          <w:numId w:val="10"/>
        </w:numPr>
        <w:tabs>
          <w:tab w:val="left" w:leader="dot" w:pos="7920"/>
          <w:tab w:val="right" w:pos="8640"/>
        </w:tabs>
        <w:rPr>
          <w:bCs/>
        </w:rPr>
      </w:pPr>
      <w:r>
        <w:rPr>
          <w:bCs/>
        </w:rPr>
        <w:t>Crosswalk of 201</w:t>
      </w:r>
      <w:r w:rsidR="001471F7">
        <w:rPr>
          <w:bCs/>
        </w:rPr>
        <w:t>1</w:t>
      </w:r>
      <w:r>
        <w:rPr>
          <w:bCs/>
        </w:rPr>
        <w:t xml:space="preserve"> Availability</w:t>
      </w:r>
    </w:p>
    <w:p w:rsidR="00894E5F" w:rsidRDefault="00612F80" w:rsidP="004B44EF">
      <w:pPr>
        <w:numPr>
          <w:ilvl w:val="0"/>
          <w:numId w:val="10"/>
        </w:numPr>
        <w:tabs>
          <w:tab w:val="left" w:leader="dot" w:pos="7920"/>
          <w:tab w:val="right" w:pos="8640"/>
        </w:tabs>
        <w:rPr>
          <w:bCs/>
        </w:rPr>
      </w:pPr>
      <w:r w:rsidRPr="00894E5F">
        <w:rPr>
          <w:bCs/>
        </w:rPr>
        <w:t>Crosswalk of 201</w:t>
      </w:r>
      <w:r w:rsidR="001471F7">
        <w:rPr>
          <w:bCs/>
        </w:rPr>
        <w:t>2</w:t>
      </w:r>
      <w:r w:rsidRPr="00894E5F">
        <w:rPr>
          <w:bCs/>
        </w:rPr>
        <w:t xml:space="preserve"> Availability</w:t>
      </w:r>
    </w:p>
    <w:p w:rsidR="00612F80" w:rsidRDefault="00894E5F" w:rsidP="004B44EF">
      <w:pPr>
        <w:numPr>
          <w:ilvl w:val="0"/>
          <w:numId w:val="10"/>
        </w:numPr>
        <w:tabs>
          <w:tab w:val="left" w:leader="dot" w:pos="7920"/>
          <w:tab w:val="right" w:pos="8640"/>
        </w:tabs>
        <w:rPr>
          <w:bCs/>
        </w:rPr>
      </w:pPr>
      <w:r w:rsidRPr="00894E5F">
        <w:rPr>
          <w:bCs/>
        </w:rPr>
        <w:t xml:space="preserve"> </w:t>
      </w:r>
      <w:r w:rsidR="00612F80" w:rsidRPr="00894E5F">
        <w:rPr>
          <w:bCs/>
        </w:rPr>
        <w:t>Summary of Reimbursable Resources</w:t>
      </w:r>
    </w:p>
    <w:p w:rsidR="00612F80" w:rsidRDefault="00612F80" w:rsidP="004B44EF">
      <w:pPr>
        <w:numPr>
          <w:ilvl w:val="0"/>
          <w:numId w:val="10"/>
        </w:numPr>
        <w:tabs>
          <w:tab w:val="left" w:leader="dot" w:pos="7920"/>
          <w:tab w:val="right" w:pos="8640"/>
        </w:tabs>
        <w:rPr>
          <w:bCs/>
        </w:rPr>
      </w:pPr>
      <w:r>
        <w:rPr>
          <w:bCs/>
        </w:rPr>
        <w:t>Detail of Permanent Positions by Category</w:t>
      </w:r>
    </w:p>
    <w:p w:rsidR="00612F80" w:rsidRDefault="00612F80" w:rsidP="004B44EF">
      <w:pPr>
        <w:numPr>
          <w:ilvl w:val="0"/>
          <w:numId w:val="10"/>
        </w:numPr>
        <w:tabs>
          <w:tab w:val="left" w:leader="dot" w:pos="7920"/>
          <w:tab w:val="right" w:pos="8640"/>
        </w:tabs>
        <w:rPr>
          <w:bCs/>
        </w:rPr>
      </w:pPr>
      <w:r>
        <w:rPr>
          <w:bCs/>
        </w:rPr>
        <w:t>Financial Analysis of Program Increases/Offsets</w:t>
      </w:r>
    </w:p>
    <w:p w:rsidR="00612F80" w:rsidRDefault="00612F80" w:rsidP="004B44EF">
      <w:pPr>
        <w:numPr>
          <w:ilvl w:val="0"/>
          <w:numId w:val="10"/>
        </w:numPr>
        <w:tabs>
          <w:tab w:val="left" w:leader="dot" w:pos="7920"/>
          <w:tab w:val="right" w:pos="8640"/>
        </w:tabs>
        <w:rPr>
          <w:bCs/>
        </w:rPr>
      </w:pPr>
      <w:r>
        <w:rPr>
          <w:bCs/>
        </w:rPr>
        <w:t>Summary of Requirements by Grade</w:t>
      </w:r>
    </w:p>
    <w:p w:rsidR="00612F80" w:rsidRDefault="00612F80" w:rsidP="004B44EF">
      <w:pPr>
        <w:numPr>
          <w:ilvl w:val="0"/>
          <w:numId w:val="10"/>
        </w:numPr>
        <w:tabs>
          <w:tab w:val="left" w:leader="dot" w:pos="7920"/>
          <w:tab w:val="right" w:pos="8640"/>
        </w:tabs>
        <w:rPr>
          <w:bCs/>
        </w:rPr>
      </w:pPr>
      <w:r>
        <w:rPr>
          <w:bCs/>
        </w:rPr>
        <w:t>Summary of Requirements by Object Class</w:t>
      </w:r>
    </w:p>
    <w:p w:rsidR="00612F80" w:rsidRDefault="00612F80" w:rsidP="004B44EF">
      <w:pPr>
        <w:numPr>
          <w:ilvl w:val="0"/>
          <w:numId w:val="10"/>
        </w:numPr>
        <w:tabs>
          <w:tab w:val="left" w:leader="dot" w:pos="7920"/>
          <w:tab w:val="right" w:pos="8640"/>
        </w:tabs>
        <w:rPr>
          <w:bCs/>
        </w:rPr>
      </w:pPr>
      <w:r w:rsidRPr="00792186">
        <w:rPr>
          <w:bCs/>
        </w:rPr>
        <w:t>Status of Congressionally Requested St</w:t>
      </w:r>
      <w:r w:rsidR="00024AFC">
        <w:rPr>
          <w:bCs/>
        </w:rPr>
        <w:t>udies, Reports, and Evaluations</w:t>
      </w:r>
    </w:p>
    <w:p w:rsidR="00612F80" w:rsidRDefault="00612F80" w:rsidP="002D56F5">
      <w:pPr>
        <w:pStyle w:val="BodyText"/>
        <w:ind w:right="-540"/>
        <w:rPr>
          <w:b/>
          <w:bCs/>
          <w:sz w:val="28"/>
          <w:szCs w:val="28"/>
        </w:rPr>
      </w:pPr>
    </w:p>
    <w:p w:rsidR="00BF4305" w:rsidRDefault="00BF4305" w:rsidP="002D56F5">
      <w:pPr>
        <w:pStyle w:val="BodyText"/>
        <w:ind w:right="-540"/>
        <w:rPr>
          <w:b/>
          <w:bCs/>
          <w:sz w:val="28"/>
          <w:szCs w:val="28"/>
        </w:rPr>
      </w:pPr>
    </w:p>
    <w:p w:rsidR="0093539F" w:rsidRDefault="0093539F" w:rsidP="002D56F5">
      <w:pPr>
        <w:pStyle w:val="BodyText"/>
        <w:ind w:right="-540"/>
        <w:rPr>
          <w:b/>
          <w:bCs/>
          <w:sz w:val="28"/>
          <w:szCs w:val="28"/>
        </w:rPr>
      </w:pPr>
    </w:p>
    <w:p w:rsidR="0093539F" w:rsidRDefault="0093539F" w:rsidP="002D56F5">
      <w:pPr>
        <w:pStyle w:val="BodyText"/>
        <w:ind w:right="-540"/>
        <w:rPr>
          <w:b/>
          <w:bCs/>
          <w:sz w:val="28"/>
          <w:szCs w:val="28"/>
        </w:rPr>
      </w:pPr>
    </w:p>
    <w:p w:rsidR="00BF4305" w:rsidRDefault="00BF4305" w:rsidP="002D56F5">
      <w:pPr>
        <w:pStyle w:val="BodyText"/>
        <w:ind w:right="-540"/>
        <w:rPr>
          <w:b/>
          <w:bCs/>
          <w:sz w:val="28"/>
          <w:szCs w:val="28"/>
        </w:rPr>
      </w:pPr>
    </w:p>
    <w:p w:rsidR="00AB70EE" w:rsidRDefault="00AB70EE" w:rsidP="002D56F5">
      <w:pPr>
        <w:pStyle w:val="BodyText"/>
        <w:ind w:right="-540"/>
        <w:rPr>
          <w:b/>
          <w:bCs/>
          <w:sz w:val="28"/>
          <w:szCs w:val="28"/>
        </w:rPr>
      </w:pPr>
    </w:p>
    <w:p w:rsidR="00AB70EE" w:rsidRDefault="00AB70EE" w:rsidP="002D56F5">
      <w:pPr>
        <w:pStyle w:val="BodyText"/>
        <w:ind w:right="-540"/>
        <w:rPr>
          <w:b/>
          <w:bCs/>
          <w:sz w:val="28"/>
          <w:szCs w:val="28"/>
        </w:rPr>
      </w:pPr>
    </w:p>
    <w:p w:rsidR="00AB70EE" w:rsidRDefault="00AB70EE" w:rsidP="002D56F5">
      <w:pPr>
        <w:pStyle w:val="BodyText"/>
        <w:ind w:right="-540"/>
        <w:rPr>
          <w:b/>
          <w:bCs/>
          <w:sz w:val="28"/>
          <w:szCs w:val="28"/>
        </w:rPr>
      </w:pPr>
    </w:p>
    <w:p w:rsidR="00BF4305" w:rsidRDefault="00BF4305" w:rsidP="002D56F5">
      <w:pPr>
        <w:pStyle w:val="BodyText"/>
        <w:ind w:right="-540"/>
        <w:rPr>
          <w:b/>
          <w:bCs/>
          <w:sz w:val="28"/>
          <w:szCs w:val="28"/>
        </w:rPr>
      </w:pPr>
    </w:p>
    <w:p w:rsidR="00BF4305" w:rsidRDefault="00BF4305" w:rsidP="002D56F5">
      <w:pPr>
        <w:pStyle w:val="BodyText"/>
        <w:ind w:right="-540"/>
        <w:rPr>
          <w:b/>
          <w:bCs/>
          <w:sz w:val="28"/>
          <w:szCs w:val="28"/>
        </w:rPr>
      </w:pPr>
    </w:p>
    <w:p w:rsidR="00BF4305" w:rsidRPr="00D172B9" w:rsidRDefault="00BF4305" w:rsidP="00BF4305">
      <w:pPr>
        <w:pStyle w:val="BodyText"/>
        <w:ind w:right="-540"/>
        <w:rPr>
          <w:b/>
          <w:bCs/>
          <w:sz w:val="28"/>
          <w:szCs w:val="28"/>
        </w:rPr>
      </w:pPr>
      <w:r w:rsidRPr="00D172B9">
        <w:rPr>
          <w:b/>
          <w:bCs/>
          <w:sz w:val="28"/>
          <w:szCs w:val="28"/>
        </w:rPr>
        <w:t xml:space="preserve">I.  Overview </w:t>
      </w:r>
      <w:r>
        <w:rPr>
          <w:b/>
          <w:bCs/>
          <w:sz w:val="28"/>
          <w:szCs w:val="28"/>
        </w:rPr>
        <w:t>for the Office on Violence Against Women</w:t>
      </w:r>
    </w:p>
    <w:p w:rsidR="00BF4305" w:rsidRDefault="00BF4305" w:rsidP="00BF4305">
      <w:pPr>
        <w:pStyle w:val="BodyText"/>
        <w:ind w:right="-540"/>
      </w:pPr>
    </w:p>
    <w:p w:rsidR="00BF4305" w:rsidRPr="00BC05CD" w:rsidRDefault="00BF4305" w:rsidP="00BF4305">
      <w:pPr>
        <w:ind w:right="-540"/>
        <w:rPr>
          <w:b/>
        </w:rPr>
      </w:pPr>
      <w:r w:rsidRPr="00166430">
        <w:rPr>
          <w:b/>
        </w:rPr>
        <w:t>1.</w:t>
      </w:r>
      <w:r>
        <w:t xml:space="preserve">  </w:t>
      </w:r>
      <w:r>
        <w:rPr>
          <w:b/>
        </w:rPr>
        <w:t>I</w:t>
      </w:r>
      <w:r w:rsidRPr="00BC05CD">
        <w:rPr>
          <w:b/>
        </w:rPr>
        <w:t>ntroduction</w:t>
      </w:r>
    </w:p>
    <w:p w:rsidR="00612F80" w:rsidRDefault="00612F80" w:rsidP="002D56F5">
      <w:pPr>
        <w:pStyle w:val="BodyText"/>
        <w:ind w:right="-540"/>
        <w:rPr>
          <w:b/>
          <w:bCs/>
          <w:sz w:val="28"/>
          <w:szCs w:val="28"/>
        </w:rPr>
      </w:pPr>
    </w:p>
    <w:p w:rsidR="00954E6F" w:rsidRPr="00E22DA7" w:rsidRDefault="00BF4305" w:rsidP="00560775">
      <w:pPr>
        <w:pStyle w:val="BodyText"/>
        <w:ind w:right="-540"/>
      </w:pPr>
      <w:r w:rsidRPr="002761B7">
        <w:t xml:space="preserve">The FY </w:t>
      </w:r>
      <w:r>
        <w:t>2013</w:t>
      </w:r>
      <w:r w:rsidR="00417817">
        <w:t xml:space="preserve"> overall</w:t>
      </w:r>
      <w:r w:rsidR="00E5661D">
        <w:t xml:space="preserve"> </w:t>
      </w:r>
      <w:r w:rsidRPr="002761B7">
        <w:t xml:space="preserve">request for </w:t>
      </w:r>
      <w:r>
        <w:t xml:space="preserve">the Office on Violence </w:t>
      </w:r>
      <w:proofErr w:type="gramStart"/>
      <w:r>
        <w:t>Against</w:t>
      </w:r>
      <w:proofErr w:type="gramEnd"/>
      <w:r>
        <w:t xml:space="preserve"> Women (</w:t>
      </w:r>
      <w:r w:rsidRPr="002761B7">
        <w:t>OVW</w:t>
      </w:r>
      <w:r>
        <w:t>)</w:t>
      </w:r>
      <w:r w:rsidRPr="002761B7">
        <w:t xml:space="preserve"> totals </w:t>
      </w:r>
      <w:r w:rsidR="00417817">
        <w:t xml:space="preserve">$412,500,000, which includes </w:t>
      </w:r>
      <w:r>
        <w:t>$</w:t>
      </w:r>
      <w:r w:rsidR="00B53439">
        <w:t>268,000,000</w:t>
      </w:r>
      <w:r w:rsidR="008D50CC">
        <w:t>,</w:t>
      </w:r>
      <w:r w:rsidR="0061340E" w:rsidRPr="0061340E">
        <w:t xml:space="preserve"> </w:t>
      </w:r>
      <w:r w:rsidR="0061340E" w:rsidRPr="003202D3">
        <w:t>7</w:t>
      </w:r>
      <w:r w:rsidR="005C3766">
        <w:t>0</w:t>
      </w:r>
      <w:r w:rsidR="0061340E" w:rsidRPr="003202D3">
        <w:t xml:space="preserve"> positions and 7</w:t>
      </w:r>
      <w:r w:rsidR="009E47CD">
        <w:t>0</w:t>
      </w:r>
      <w:r w:rsidR="0061340E" w:rsidRPr="003202D3">
        <w:t xml:space="preserve"> FTEs</w:t>
      </w:r>
      <w:r w:rsidR="00B53439">
        <w:t xml:space="preserve">, </w:t>
      </w:r>
      <w:r w:rsidR="008D50CC">
        <w:t>within the Violence Against Women Prevention and Prosecution Programs appropriation</w:t>
      </w:r>
      <w:r w:rsidR="00B53439">
        <w:t xml:space="preserve">.  Additionally, </w:t>
      </w:r>
      <w:r w:rsidR="008D50CC">
        <w:t xml:space="preserve">$144,500,000 is requested under the </w:t>
      </w:r>
      <w:r w:rsidR="00B53439">
        <w:t xml:space="preserve">Office of Justice Programs, </w:t>
      </w:r>
      <w:r w:rsidR="008D50CC">
        <w:t>Crime Victim</w:t>
      </w:r>
      <w:r w:rsidR="00B53439">
        <w:t>s</w:t>
      </w:r>
      <w:r w:rsidR="008D50CC">
        <w:t xml:space="preserve"> Fund for </w:t>
      </w:r>
      <w:r w:rsidR="0050142E">
        <w:t xml:space="preserve">transfer to OVW and </w:t>
      </w:r>
      <w:r w:rsidR="008D50CC">
        <w:t xml:space="preserve">support of the STOP Violence </w:t>
      </w:r>
      <w:proofErr w:type="gramStart"/>
      <w:r w:rsidR="008D50CC">
        <w:t>Against</w:t>
      </w:r>
      <w:proofErr w:type="gramEnd"/>
      <w:r w:rsidR="008D50CC">
        <w:t xml:space="preserve"> Women Formula Grant Program</w:t>
      </w:r>
      <w:r w:rsidR="00417817">
        <w:t>, making t</w:t>
      </w:r>
      <w:r w:rsidRPr="002761B7">
        <w:t>he</w:t>
      </w:r>
      <w:r w:rsidR="00B53439">
        <w:t xml:space="preserve"> FY 2013 total resource request for OVW </w:t>
      </w:r>
      <w:r w:rsidR="00417817">
        <w:t>equal to the FY 2012 enacted appropriation</w:t>
      </w:r>
      <w:r w:rsidR="00B53439">
        <w:t xml:space="preserve">.  The 2013 request also includes a $6 million rescission of prior year balances.  </w:t>
      </w:r>
      <w:r w:rsidR="00954E6F" w:rsidRPr="00F352C4">
        <w:t>Please see page</w:t>
      </w:r>
      <w:r w:rsidR="00377B7E" w:rsidRPr="00F352C4">
        <w:t xml:space="preserve"> </w:t>
      </w:r>
      <w:r w:rsidR="00CD4580" w:rsidRPr="00F352C4">
        <w:t>5 of this document for a Summary of Program Changes.</w:t>
      </w:r>
      <w:r w:rsidR="0061340E">
        <w:t xml:space="preserve"> </w:t>
      </w:r>
      <w:r w:rsidR="0061340E" w:rsidRPr="0061340E">
        <w:rPr>
          <w:bCs/>
        </w:rPr>
        <w:t xml:space="preserve"> </w:t>
      </w:r>
      <w:r w:rsidR="0061340E" w:rsidRPr="00FF1D21">
        <w:rPr>
          <w:bCs/>
        </w:rPr>
        <w:t>Electronic</w:t>
      </w:r>
      <w:r w:rsidR="0061340E" w:rsidRPr="00C1151B">
        <w:rPr>
          <w:bCs/>
        </w:rPr>
        <w:t xml:space="preserve"> copies of the Department of Justice’s </w:t>
      </w:r>
      <w:r w:rsidR="0061340E">
        <w:rPr>
          <w:bCs/>
        </w:rPr>
        <w:t>C</w:t>
      </w:r>
      <w:r w:rsidR="0061340E" w:rsidRPr="00C1151B">
        <w:rPr>
          <w:bCs/>
        </w:rPr>
        <w:t xml:space="preserve">ongressional </w:t>
      </w:r>
      <w:r w:rsidR="0061340E">
        <w:rPr>
          <w:bCs/>
        </w:rPr>
        <w:t>B</w:t>
      </w:r>
      <w:r w:rsidR="0061340E" w:rsidRPr="00C1151B">
        <w:rPr>
          <w:bCs/>
        </w:rPr>
        <w:t xml:space="preserve">udget </w:t>
      </w:r>
      <w:r w:rsidR="0061340E">
        <w:rPr>
          <w:bCs/>
        </w:rPr>
        <w:t xml:space="preserve">Justifications and </w:t>
      </w:r>
      <w:r w:rsidR="0061340E" w:rsidRPr="00C1151B">
        <w:rPr>
          <w:bCs/>
        </w:rPr>
        <w:t>Capital Asset Plan and Business Case</w:t>
      </w:r>
      <w:r w:rsidR="0061340E">
        <w:rPr>
          <w:bCs/>
        </w:rPr>
        <w:t xml:space="preserve"> exhibits</w:t>
      </w:r>
      <w:r w:rsidR="0061340E" w:rsidRPr="00C1151B">
        <w:rPr>
          <w:bCs/>
        </w:rPr>
        <w:t xml:space="preserve"> can be viewed or downloaded from the Internet using the Internet address:</w:t>
      </w:r>
      <w:r w:rsidR="0061340E">
        <w:rPr>
          <w:bCs/>
        </w:rPr>
        <w:t xml:space="preserve"> </w:t>
      </w:r>
      <w:r w:rsidR="0061340E">
        <w:rPr>
          <w:color w:val="1F497D"/>
        </w:rPr>
        <w:t xml:space="preserve"> </w:t>
      </w:r>
      <w:hyperlink r:id="rId11" w:history="1">
        <w:r w:rsidR="0061340E">
          <w:rPr>
            <w:rStyle w:val="Hyperlink"/>
          </w:rPr>
          <w:t>http://www.justice.gov/02organizations/bpp.htm</w:t>
        </w:r>
      </w:hyperlink>
      <w:r w:rsidR="0061340E" w:rsidRPr="00836002">
        <w:rPr>
          <w:bCs/>
        </w:rPr>
        <w:t>.”</w:t>
      </w:r>
      <w:r w:rsidR="0061340E" w:rsidRPr="00C1151B">
        <w:rPr>
          <w:bCs/>
        </w:rPr>
        <w:t xml:space="preserve">  </w:t>
      </w:r>
      <w:r w:rsidR="0061340E">
        <w:rPr>
          <w:bCs/>
        </w:rPr>
        <w:br/>
      </w:r>
    </w:p>
    <w:p w:rsidR="00C312CA" w:rsidRDefault="00C312CA" w:rsidP="00C312CA">
      <w:pPr>
        <w:rPr>
          <w:color w:val="000000"/>
          <w:sz w:val="23"/>
          <w:szCs w:val="23"/>
        </w:rPr>
      </w:pPr>
      <w:r w:rsidRPr="00C312CA">
        <w:rPr>
          <w:color w:val="000000"/>
        </w:rPr>
        <w:t>OVW’s mission is to provide national leadership to improve the Nation’s response to crimes of domestic violence, stalking, sexual assault, and dating violence. The Office administers financial support and technical assistance to state, local and tribal communities across the country and in our territories that are creating programs, policies, and practices aimed at ending these crimes</w:t>
      </w:r>
      <w:r>
        <w:rPr>
          <w:color w:val="000000"/>
          <w:sz w:val="23"/>
          <w:szCs w:val="23"/>
        </w:rPr>
        <w:t>.</w:t>
      </w:r>
    </w:p>
    <w:p w:rsidR="00C312CA" w:rsidRDefault="00C312CA" w:rsidP="00FD0C74">
      <w:pPr>
        <w:ind w:right="-540"/>
      </w:pPr>
    </w:p>
    <w:p w:rsidR="00FD0C74" w:rsidRPr="003414C5" w:rsidRDefault="00C312CA" w:rsidP="00FD0C74">
      <w:pPr>
        <w:ind w:right="-540"/>
      </w:pPr>
      <w:r>
        <w:t>OVW four priority areas include</w:t>
      </w:r>
      <w:r w:rsidR="00FD0C74" w:rsidRPr="003414C5">
        <w:t>:  1) preventing violence against women; 2) addressing sexual assault; 3) extending our programming to underserved communities; and 4) restoring and protecting the economic security of victims of violence.</w:t>
      </w:r>
    </w:p>
    <w:p w:rsidR="00FD0C74" w:rsidRPr="003414C5" w:rsidRDefault="00FD0C74" w:rsidP="00FD0C74"/>
    <w:p w:rsidR="00FD0C74" w:rsidRPr="003414C5" w:rsidRDefault="00FD0C74" w:rsidP="00FD0C74">
      <w:pPr>
        <w:rPr>
          <w:b/>
          <w:i/>
          <w:u w:val="single"/>
        </w:rPr>
      </w:pPr>
      <w:r w:rsidRPr="003414C5">
        <w:rPr>
          <w:b/>
          <w:i/>
        </w:rPr>
        <w:t>Preventing violence against women</w:t>
      </w:r>
    </w:p>
    <w:p w:rsidR="00FD0C74" w:rsidRPr="00E22DA7" w:rsidRDefault="00FD0C74" w:rsidP="00FD0C74">
      <w:pPr>
        <w:ind w:right="-540"/>
      </w:pPr>
      <w:r w:rsidRPr="00E22DA7">
        <w:t xml:space="preserve">If we are ever to stem the tide of domestic violence, sexual assault, dating violence and stalking, we must front-load our efforts with measures to prevent violence in the first instance.  Through </w:t>
      </w:r>
      <w:r>
        <w:t xml:space="preserve">the </w:t>
      </w:r>
      <w:r w:rsidRPr="00E22DA7">
        <w:t xml:space="preserve">support of myriad efforts to prevent violence, beginning with children, and continuing through teens and young adults, </w:t>
      </w:r>
      <w:r>
        <w:t xml:space="preserve">and extending </w:t>
      </w:r>
      <w:r w:rsidRPr="00E22DA7">
        <w:t>to the elderly, and in various different venues such as school-based prevention efforts, public a</w:t>
      </w:r>
      <w:r>
        <w:t>wareness campaigns and homicide-</w:t>
      </w:r>
      <w:r w:rsidRPr="00E22DA7">
        <w:t>prevention</w:t>
      </w:r>
      <w:r>
        <w:t xml:space="preserve"> initiatives</w:t>
      </w:r>
      <w:r w:rsidRPr="00E22DA7">
        <w:t xml:space="preserve">, we hope to make our homes and communities safer.  By addressing violence at early ages, we will </w:t>
      </w:r>
      <w:r>
        <w:t>seek to diminish</w:t>
      </w:r>
      <w:r w:rsidRPr="00E22DA7">
        <w:t xml:space="preserve"> the need for intervention services and treatment approaches </w:t>
      </w:r>
      <w:r>
        <w:t xml:space="preserve">by reducing the number of </w:t>
      </w:r>
      <w:r w:rsidRPr="00E22DA7">
        <w:t>victims and perpetrators.</w:t>
      </w:r>
    </w:p>
    <w:p w:rsidR="00FD0C74" w:rsidRPr="00E22DA7" w:rsidRDefault="00FD0C74" w:rsidP="00FD0C74"/>
    <w:p w:rsidR="00FD0C74" w:rsidRPr="003414C5" w:rsidRDefault="00FD0C74" w:rsidP="00FD0C74">
      <w:pPr>
        <w:ind w:right="-540"/>
        <w:rPr>
          <w:b/>
          <w:i/>
        </w:rPr>
      </w:pPr>
      <w:r w:rsidRPr="003414C5">
        <w:rPr>
          <w:b/>
          <w:i/>
        </w:rPr>
        <w:t>Addressing sexual assault</w:t>
      </w:r>
    </w:p>
    <w:p w:rsidR="00FD0C74" w:rsidRPr="00E22DA7" w:rsidRDefault="00FD0C74" w:rsidP="00FD0C74">
      <w:pPr>
        <w:ind w:right="-540"/>
      </w:pPr>
      <w:r w:rsidRPr="00E22DA7">
        <w:t xml:space="preserve">The Office has done an extraordinary job of facilitating the development, coordination and dissemination of services for victims of domestic violence.   Comparatively, much less attention has been focused on the insidious problem of sexual assault, ranging from assault of children, to young adults on college campuses, to the elderly.  We are committed to devoting the same level of attention to sexual assault as we have to domestic violence to ensure that this population of victims receives all </w:t>
      </w:r>
      <w:r w:rsidRPr="00E22DA7">
        <w:lastRenderedPageBreak/>
        <w:t xml:space="preserve">appropriate services.  At the same time, we will likewise focus on prevention efforts to </w:t>
      </w:r>
      <w:r>
        <w:t>stop victimization before it occurs.</w:t>
      </w:r>
    </w:p>
    <w:p w:rsidR="00FD0C74" w:rsidRPr="00E22DA7" w:rsidRDefault="00FD0C74" w:rsidP="00FD0C74"/>
    <w:p w:rsidR="00FD0C74" w:rsidRPr="003414C5" w:rsidRDefault="00FD0C74" w:rsidP="00FD0C74">
      <w:pPr>
        <w:rPr>
          <w:b/>
          <w:i/>
        </w:rPr>
      </w:pPr>
      <w:r w:rsidRPr="003414C5">
        <w:rPr>
          <w:b/>
          <w:i/>
        </w:rPr>
        <w:t>Reaching underserved communities</w:t>
      </w:r>
    </w:p>
    <w:p w:rsidR="00FD0C74" w:rsidRPr="00E22DA7" w:rsidRDefault="00FD0C74" w:rsidP="00FD0C74">
      <w:pPr>
        <w:ind w:right="-540"/>
      </w:pPr>
      <w:r w:rsidRPr="00E22DA7">
        <w:t>One of the most important efforts the Office can undertake is to determine the populations of underser</w:t>
      </w:r>
      <w:r>
        <w:t xml:space="preserve">ved communities in the country; </w:t>
      </w:r>
      <w:r w:rsidRPr="00E22DA7">
        <w:t xml:space="preserve">and </w:t>
      </w:r>
      <w:r>
        <w:t xml:space="preserve">to </w:t>
      </w:r>
      <w:r w:rsidRPr="00E22DA7">
        <w:t xml:space="preserve">ensure that all our programs reach every demographic and geographic community.  We intend to </w:t>
      </w:r>
      <w:r>
        <w:t>identify and reach</w:t>
      </w:r>
      <w:r w:rsidRPr="00E22DA7">
        <w:t xml:space="preserve"> those groups that have traditionally been underserved so that they will have </w:t>
      </w:r>
      <w:r>
        <w:t xml:space="preserve">access to </w:t>
      </w:r>
      <w:r w:rsidRPr="00E22DA7">
        <w:t xml:space="preserve">the full panoply of resources that are available to other groups.  Among the underserved populations we </w:t>
      </w:r>
      <w:r>
        <w:t>already have identified</w:t>
      </w:r>
      <w:r w:rsidRPr="00E22DA7">
        <w:t xml:space="preserve"> are women of color, women in tribal communities, women with disabilities, elderly women, immigrant and refugee women, women in the military, and LGBTQ victims of violence.</w:t>
      </w:r>
    </w:p>
    <w:p w:rsidR="00F25FC2" w:rsidRPr="00E22DA7" w:rsidRDefault="00F25FC2" w:rsidP="00FD0C74"/>
    <w:p w:rsidR="00FD0C74" w:rsidRPr="003414C5" w:rsidRDefault="00FD0C74" w:rsidP="00FD0C74">
      <w:pPr>
        <w:rPr>
          <w:b/>
          <w:i/>
        </w:rPr>
      </w:pPr>
      <w:r w:rsidRPr="003414C5">
        <w:rPr>
          <w:b/>
          <w:i/>
        </w:rPr>
        <w:t>Protecting economic security for victims</w:t>
      </w:r>
    </w:p>
    <w:p w:rsidR="00FD0C74" w:rsidRPr="00E22DA7" w:rsidRDefault="00FD0C74" w:rsidP="00FD0C74">
      <w:pPr>
        <w:ind w:right="-540"/>
      </w:pPr>
      <w:r w:rsidRPr="00E22DA7">
        <w:t>The fourth focal point is economic security for victims.  Leaving an abusive relationship poses a number of challenges</w:t>
      </w:r>
      <w:r>
        <w:t xml:space="preserve"> for a victim</w:t>
      </w:r>
      <w:r w:rsidRPr="00E22DA7">
        <w:t>, not the least of which is the loss of housing, especially when the victim has children, and potentially the loss of a job and other related benefits.  Next to safety, victims report that economic security is the</w:t>
      </w:r>
      <w:r>
        <w:t>ir</w:t>
      </w:r>
      <w:r w:rsidRPr="00E22DA7">
        <w:t xml:space="preserve"> most pressing concern.  Unless and until victims can achieve economic stability, they will remain vulnerable to unsafe and dangerous relationships and risks to their children.</w:t>
      </w:r>
    </w:p>
    <w:p w:rsidR="00FD0C74" w:rsidRPr="00E22DA7" w:rsidRDefault="00FD0C74" w:rsidP="00FD0C74">
      <w:pPr>
        <w:ind w:right="-540"/>
      </w:pPr>
    </w:p>
    <w:p w:rsidR="00FD0C74" w:rsidRDefault="008D2416" w:rsidP="008D2416">
      <w:pPr>
        <w:rPr>
          <w:rFonts w:eastAsia="Calibri"/>
        </w:rPr>
      </w:pPr>
      <w:r>
        <w:rPr>
          <w:rFonts w:eastAsia="Calibri"/>
        </w:rPr>
        <w:t>T</w:t>
      </w:r>
      <w:r w:rsidR="00CD24BC">
        <w:rPr>
          <w:rFonts w:eastAsia="Calibri"/>
        </w:rPr>
        <w:t>he FY 2013 request will sustain the Office</w:t>
      </w:r>
      <w:r w:rsidR="0050142E">
        <w:rPr>
          <w:rFonts w:eastAsia="Calibri"/>
        </w:rPr>
        <w:t>’s efforts</w:t>
      </w:r>
      <w:r w:rsidR="00CD24BC">
        <w:rPr>
          <w:rFonts w:eastAsia="Calibri"/>
        </w:rPr>
        <w:t xml:space="preserve">.  </w:t>
      </w:r>
      <w:r>
        <w:rPr>
          <w:rFonts w:eastAsia="Calibri"/>
        </w:rPr>
        <w:t xml:space="preserve">In addition, </w:t>
      </w:r>
      <w:r w:rsidR="00CD24BC">
        <w:rPr>
          <w:rFonts w:eastAsia="Calibri"/>
        </w:rPr>
        <w:t xml:space="preserve">minimal program funding shifts will allow us to begin targeting our priority areas.  </w:t>
      </w:r>
      <w:r>
        <w:rPr>
          <w:rFonts w:eastAsia="Calibri"/>
        </w:rPr>
        <w:t xml:space="preserve">For example, </w:t>
      </w:r>
      <w:r w:rsidR="00CD24BC">
        <w:rPr>
          <w:rFonts w:eastAsia="Calibri"/>
        </w:rPr>
        <w:t>providing additional funding to suppor</w:t>
      </w:r>
      <w:r>
        <w:rPr>
          <w:rFonts w:eastAsia="Calibri"/>
        </w:rPr>
        <w:t xml:space="preserve">t our Rural Program will support our goal to reach underserved communities.  </w:t>
      </w:r>
    </w:p>
    <w:p w:rsidR="008D2416" w:rsidRPr="00E22DA7" w:rsidRDefault="008D2416" w:rsidP="008D2416"/>
    <w:p w:rsidR="00954E6F" w:rsidRPr="00E22DA7" w:rsidRDefault="003202D3" w:rsidP="00FD0C74">
      <w:pPr>
        <w:ind w:right="-540"/>
      </w:pPr>
      <w:r w:rsidRPr="003202D3">
        <w:t>Funding for OVW m</w:t>
      </w:r>
      <w:r w:rsidR="00FD0C74" w:rsidRPr="003202D3">
        <w:t xml:space="preserve">anagement and administration </w:t>
      </w:r>
      <w:r w:rsidRPr="003202D3">
        <w:rPr>
          <w:rFonts w:cs="Shruti"/>
        </w:rPr>
        <w:t xml:space="preserve">requirements will be funded out of the program amounts requested to support a total of </w:t>
      </w:r>
      <w:r w:rsidR="009E47CD">
        <w:t>70</w:t>
      </w:r>
      <w:r w:rsidR="00FD0C74" w:rsidRPr="003202D3">
        <w:t xml:space="preserve"> positions</w:t>
      </w:r>
      <w:r w:rsidRPr="003202D3">
        <w:t xml:space="preserve"> and 7</w:t>
      </w:r>
      <w:r w:rsidR="009E47CD">
        <w:t>0</w:t>
      </w:r>
      <w:r w:rsidRPr="003202D3">
        <w:t xml:space="preserve"> F</w:t>
      </w:r>
      <w:r w:rsidR="00FD0C74" w:rsidRPr="003202D3">
        <w:t>TE</w:t>
      </w:r>
      <w:r w:rsidRPr="003202D3">
        <w:t xml:space="preserve">s.  </w:t>
      </w:r>
      <w:r w:rsidR="00FD0C74" w:rsidRPr="003414C5">
        <w:t xml:space="preserve"> </w:t>
      </w:r>
    </w:p>
    <w:p w:rsidR="00954E6F" w:rsidRDefault="00954E6F" w:rsidP="00954E6F">
      <w:pPr>
        <w:ind w:right="-540"/>
      </w:pPr>
    </w:p>
    <w:p w:rsidR="00954E6F" w:rsidRPr="00BC05CD" w:rsidRDefault="00954E6F" w:rsidP="00954E6F">
      <w:pPr>
        <w:ind w:right="-540"/>
        <w:rPr>
          <w:b/>
        </w:rPr>
      </w:pPr>
      <w:r>
        <w:rPr>
          <w:b/>
        </w:rPr>
        <w:t xml:space="preserve">2.  </w:t>
      </w:r>
      <w:r w:rsidRPr="00BC05CD">
        <w:rPr>
          <w:b/>
        </w:rPr>
        <w:t>Background</w:t>
      </w:r>
    </w:p>
    <w:p w:rsidR="00954E6F" w:rsidRDefault="00954E6F" w:rsidP="00954E6F">
      <w:pPr>
        <w:ind w:right="-540"/>
      </w:pPr>
    </w:p>
    <w:p w:rsidR="00954E6F" w:rsidRPr="00E22DA7" w:rsidRDefault="00954E6F" w:rsidP="00954E6F">
      <w:pPr>
        <w:ind w:right="-540"/>
      </w:pPr>
      <w:r w:rsidRPr="00E22DA7">
        <w:t>In 1994, the landmark Violence Against Women Act (VAWA) directed the Attorney General to implement grant programs and other directives intended to combat violence against women.  In 1995, the Violence Against Women Grants Office was created within OJP to administer the grant programs authorized by the VAWA.  Simultaneously, a separate policy office, the Violence Against Women Office, was created and housed within the Office of the Associate Attorney General.  In 1998, the two offices merged under the authority of the Assistant Attorney General of OJP.  In late 2002, the 21</w:t>
      </w:r>
      <w:r w:rsidRPr="00E22DA7">
        <w:rPr>
          <w:vertAlign w:val="superscript"/>
        </w:rPr>
        <w:t>st</w:t>
      </w:r>
      <w:r w:rsidRPr="00E22DA7">
        <w:t xml:space="preserve"> Century Department of Justice Reauthorization Act established OVW as a separate and distinct office, headed by a Director to be nominated by the President and confirmed by the Senate, to provide national leadership to improve the Nation’s response to violence against women.  </w:t>
      </w:r>
    </w:p>
    <w:p w:rsidR="00954E6F" w:rsidRPr="00E22DA7" w:rsidRDefault="00954E6F" w:rsidP="00954E6F">
      <w:pPr>
        <w:ind w:right="-540"/>
      </w:pPr>
    </w:p>
    <w:p w:rsidR="00954E6F" w:rsidRPr="00E22DA7" w:rsidRDefault="00954E6F" w:rsidP="00954E6F">
      <w:pPr>
        <w:ind w:right="-540"/>
      </w:pPr>
      <w:r w:rsidRPr="00E22DA7">
        <w:t xml:space="preserve">In 2003, the Attorney General, in consultation with the Congress, established OVW as a separate office outside of OJP.  Since 2003, a phased transition of services from OJP has been under way.  The transition of administrative activities, non-grant accounting, budget formulation and execution, and IT has been completed.  The transition of grant accounting and grants financial management services is currently in process.  </w:t>
      </w:r>
    </w:p>
    <w:p w:rsidR="00954E6F" w:rsidRDefault="00954E6F" w:rsidP="00954E6F">
      <w:pPr>
        <w:ind w:right="-540"/>
      </w:pPr>
    </w:p>
    <w:p w:rsidR="005764A2" w:rsidRPr="00E22DA7" w:rsidRDefault="005764A2" w:rsidP="005764A2">
      <w:pPr>
        <w:ind w:right="-1080"/>
      </w:pPr>
      <w:r w:rsidRPr="00E22DA7">
        <w:t xml:space="preserve">The workload in the Office is significant.  Currently, OVW administers </w:t>
      </w:r>
      <w:r>
        <w:t>three</w:t>
      </w:r>
      <w:r w:rsidRPr="00E22DA7">
        <w:t xml:space="preserve"> formula and </w:t>
      </w:r>
      <w:r>
        <w:t>eighteen</w:t>
      </w:r>
      <w:r w:rsidRPr="00E22DA7">
        <w:t xml:space="preserve"> discretionary grant programs.  In FY 2010, OVW received and processed 2,</w:t>
      </w:r>
      <w:r>
        <w:t>371</w:t>
      </w:r>
      <w:r w:rsidRPr="00E22DA7">
        <w:t xml:space="preserve"> grant applications</w:t>
      </w:r>
      <w:r>
        <w:t xml:space="preserve"> and made in excess of 800 awards</w:t>
      </w:r>
      <w:r w:rsidRPr="00E22DA7">
        <w:t xml:space="preserve">.  </w:t>
      </w:r>
      <w:r w:rsidRPr="00F352C4">
        <w:t xml:space="preserve">We received and are currently processing 2,444 grant applications for FY 2011, and are currently managing approximately 2700 grants and cooperative agreements.  Although some active </w:t>
      </w:r>
      <w:r w:rsidRPr="00F352C4">
        <w:lastRenderedPageBreak/>
        <w:t xml:space="preserve">grants closed in FY’s 2009 and 2010, we made 822 FY 2010 awards, and </w:t>
      </w:r>
      <w:r w:rsidR="00F352C4">
        <w:t xml:space="preserve">approximately </w:t>
      </w:r>
      <w:r w:rsidRPr="00F352C4">
        <w:t xml:space="preserve">850 </w:t>
      </w:r>
      <w:r w:rsidR="00F352C4">
        <w:t xml:space="preserve">were </w:t>
      </w:r>
      <w:r w:rsidRPr="00F352C4">
        <w:t>awarded in FY 2011.  OVW Program Specialists are currently managing an average of 70-75 grants and cooperative</w:t>
      </w:r>
      <w:r w:rsidRPr="00E22DA7">
        <w:t xml:space="preserve"> agreements each</w:t>
      </w:r>
      <w:r w:rsidR="00FF587E">
        <w:t xml:space="preserve">. </w:t>
      </w:r>
      <w:r w:rsidRPr="00E22DA7">
        <w:t xml:space="preserve"> The ideal grant load is approximately 40 to 45 grants per specialist.  </w:t>
      </w:r>
      <w:r>
        <w:t>Pre-award application processing also correlates to office workload as work effort and staffing needs increase with the number of applications received.  In FY 2009 2,149 applications were received, 2,371 in FY 2010 and 2,444 in FY 2011.  We are seeing an increase in applications as our programs become more popular due to our outreach efforts.</w:t>
      </w:r>
    </w:p>
    <w:p w:rsidR="005764A2" w:rsidRPr="00E22DA7" w:rsidRDefault="005764A2" w:rsidP="005764A2">
      <w:pPr>
        <w:ind w:right="-540"/>
      </w:pPr>
    </w:p>
    <w:p w:rsidR="005764A2" w:rsidRPr="00E22DA7" w:rsidRDefault="005764A2" w:rsidP="005764A2">
      <w:pPr>
        <w:ind w:right="-540"/>
      </w:pPr>
      <w:r w:rsidRPr="00E22DA7">
        <w:t xml:space="preserve">Along with OVW’s responsibility for the administration of grants, OVW’s authorizing statute outlines several additional duties for the OVW Director. These include: </w:t>
      </w:r>
    </w:p>
    <w:p w:rsidR="005764A2" w:rsidRPr="00E22DA7" w:rsidRDefault="005764A2" w:rsidP="005764A2">
      <w:pPr>
        <w:ind w:right="-540"/>
      </w:pPr>
      <w:r w:rsidRPr="00E22DA7">
        <w:t xml:space="preserve">                 </w:t>
      </w:r>
    </w:p>
    <w:p w:rsidR="005764A2" w:rsidRPr="00E22DA7" w:rsidRDefault="005764A2" w:rsidP="005764A2">
      <w:pPr>
        <w:numPr>
          <w:ilvl w:val="0"/>
          <w:numId w:val="13"/>
        </w:numPr>
        <w:ind w:right="-540"/>
      </w:pPr>
      <w:r w:rsidRPr="00E22DA7">
        <w:t>maintaining liaison with the judicial branches of the Federal and State governments;</w:t>
      </w:r>
    </w:p>
    <w:p w:rsidR="005764A2" w:rsidRPr="00E22DA7" w:rsidRDefault="005764A2" w:rsidP="005764A2">
      <w:pPr>
        <w:numPr>
          <w:ilvl w:val="0"/>
          <w:numId w:val="13"/>
        </w:numPr>
        <w:ind w:right="-540"/>
      </w:pPr>
      <w:r w:rsidRPr="00E22DA7">
        <w:t>providing information on violence against women to the President, Congress, the judiciary, state, local, and tribal governments, and members of the public on matters relating to violence against women;</w:t>
      </w:r>
    </w:p>
    <w:p w:rsidR="005764A2" w:rsidRPr="00E22DA7" w:rsidRDefault="005764A2" w:rsidP="005764A2">
      <w:pPr>
        <w:numPr>
          <w:ilvl w:val="0"/>
          <w:numId w:val="13"/>
        </w:numPr>
        <w:ind w:right="-540"/>
      </w:pPr>
      <w:r w:rsidRPr="00E22DA7">
        <w:t>serving as the DOJ representative on domestic task forces, committees, or commissions addressing policy or issues relating to violence against women;</w:t>
      </w:r>
    </w:p>
    <w:p w:rsidR="005764A2" w:rsidRPr="00E22DA7" w:rsidRDefault="005764A2" w:rsidP="005764A2">
      <w:pPr>
        <w:numPr>
          <w:ilvl w:val="0"/>
          <w:numId w:val="13"/>
        </w:numPr>
        <w:ind w:right="-540"/>
      </w:pPr>
      <w:r w:rsidRPr="00E22DA7">
        <w:t>representing the U.S. on matters related to violence against women in international fora;</w:t>
      </w:r>
    </w:p>
    <w:p w:rsidR="005764A2" w:rsidRPr="00E22DA7" w:rsidRDefault="005764A2" w:rsidP="005764A2">
      <w:pPr>
        <w:numPr>
          <w:ilvl w:val="0"/>
          <w:numId w:val="13"/>
        </w:numPr>
        <w:ind w:right="-540"/>
      </w:pPr>
      <w:r w:rsidRPr="00E22DA7">
        <w:t>providing technical assistance, coordination, and support to other DOJ components in efforts to develop policy and to enforce Federal laws relating to violence against women; and</w:t>
      </w:r>
    </w:p>
    <w:p w:rsidR="005764A2" w:rsidRPr="00E22DA7" w:rsidRDefault="005764A2" w:rsidP="005764A2">
      <w:pPr>
        <w:numPr>
          <w:ilvl w:val="0"/>
          <w:numId w:val="13"/>
        </w:numPr>
        <w:ind w:right="-540"/>
      </w:pPr>
      <w:r w:rsidRPr="00E22DA7">
        <w:t xml:space="preserve">providing technical assistance, coordination, and support to agencies across federal, state, local, and tribal agencies in efforts to develop policy, provide technical assistance, and improve coordination among agencies carrying out efforts to eliminate violence against women.  </w:t>
      </w:r>
    </w:p>
    <w:p w:rsidR="005764A2" w:rsidRPr="00E22DA7" w:rsidRDefault="005764A2" w:rsidP="005764A2">
      <w:pPr>
        <w:ind w:right="-540"/>
      </w:pPr>
    </w:p>
    <w:p w:rsidR="005764A2" w:rsidRPr="00E22DA7" w:rsidRDefault="005764A2" w:rsidP="00954E6F">
      <w:pPr>
        <w:ind w:right="-540"/>
      </w:pPr>
    </w:p>
    <w:p w:rsidR="00954E6F" w:rsidRPr="00E22DA7" w:rsidRDefault="00954E6F" w:rsidP="00954E6F">
      <w:pPr>
        <w:ind w:right="-540"/>
        <w:rPr>
          <w:b/>
        </w:rPr>
      </w:pPr>
      <w:r w:rsidRPr="00E22DA7">
        <w:rPr>
          <w:b/>
        </w:rPr>
        <w:t>3.</w:t>
      </w:r>
      <w:r w:rsidRPr="00E22DA7">
        <w:t xml:space="preserve">  </w:t>
      </w:r>
      <w:r w:rsidRPr="00E22DA7">
        <w:rPr>
          <w:b/>
        </w:rPr>
        <w:t>Challenges</w:t>
      </w:r>
    </w:p>
    <w:p w:rsidR="00954E6F" w:rsidRPr="00E22DA7" w:rsidRDefault="00954E6F" w:rsidP="00954E6F">
      <w:pPr>
        <w:ind w:right="-540"/>
        <w:rPr>
          <w:b/>
        </w:rPr>
      </w:pPr>
    </w:p>
    <w:p w:rsidR="00954E6F" w:rsidRPr="00E22DA7" w:rsidRDefault="00954E6F" w:rsidP="00954E6F">
      <w:pPr>
        <w:ind w:right="-540"/>
        <w:rPr>
          <w:b/>
        </w:rPr>
      </w:pPr>
      <w:r w:rsidRPr="00E22DA7">
        <w:t xml:space="preserve">OVW’s greatest challenges in the next </w:t>
      </w:r>
      <w:r w:rsidR="001145C8">
        <w:t>few</w:t>
      </w:r>
      <w:r w:rsidR="001145C8" w:rsidRPr="00E22DA7">
        <w:t xml:space="preserve"> </w:t>
      </w:r>
      <w:r w:rsidRPr="00E22DA7">
        <w:t xml:space="preserve">years will be 1) to complete the transition to becoming a fully independent component within the Department and build the infrastructure necessary to fulfill OVW’s statutorily envisioned role as the nation’s leading voice on ending violence against women; 2) to make progress in addressing the high levels of sexual assault in the U.S.; and 3) to launch and lead a national prevention effort aimed at eradicating violence against women. </w:t>
      </w:r>
    </w:p>
    <w:p w:rsidR="00954E6F" w:rsidRPr="00E22DA7" w:rsidRDefault="00954E6F" w:rsidP="00954E6F">
      <w:pPr>
        <w:ind w:right="-540"/>
        <w:rPr>
          <w:b/>
        </w:rPr>
      </w:pPr>
    </w:p>
    <w:p w:rsidR="00954E6F" w:rsidRPr="00E22DA7" w:rsidRDefault="00954E6F" w:rsidP="00954E6F">
      <w:pPr>
        <w:autoSpaceDE w:val="0"/>
        <w:autoSpaceDN w:val="0"/>
        <w:adjustRightInd w:val="0"/>
        <w:ind w:left="380" w:right="-540" w:hanging="380"/>
        <w:rPr>
          <w:b/>
        </w:rPr>
      </w:pPr>
      <w:r w:rsidRPr="00E22DA7">
        <w:rPr>
          <w:b/>
        </w:rPr>
        <w:t>4.  Environmental Accountability</w:t>
      </w:r>
    </w:p>
    <w:p w:rsidR="00954E6F" w:rsidRPr="00E22DA7" w:rsidRDefault="00954E6F" w:rsidP="00954E6F">
      <w:pPr>
        <w:autoSpaceDE w:val="0"/>
        <w:autoSpaceDN w:val="0"/>
        <w:adjustRightInd w:val="0"/>
        <w:ind w:left="380" w:right="-540" w:hanging="380"/>
        <w:rPr>
          <w:b/>
        </w:rPr>
      </w:pPr>
    </w:p>
    <w:p w:rsidR="00954E6F" w:rsidRPr="00E22DA7" w:rsidRDefault="00954E6F" w:rsidP="00954E6F">
      <w:pPr>
        <w:autoSpaceDE w:val="0"/>
        <w:autoSpaceDN w:val="0"/>
        <w:adjustRightInd w:val="0"/>
        <w:ind w:right="-540"/>
      </w:pPr>
      <w:r w:rsidRPr="00E22DA7">
        <w:t xml:space="preserve">OVW is committed to integrating environmental accountability and continues to pursue ways to reduce the Department’s impact on the environment by instituting office-wide </w:t>
      </w:r>
      <w:r w:rsidRPr="00E22DA7">
        <w:rPr>
          <w:i/>
          <w:iCs/>
        </w:rPr>
        <w:t xml:space="preserve">Green </w:t>
      </w:r>
      <w:r w:rsidRPr="00E22DA7">
        <w:t xml:space="preserve">practices.  OVW is involved in the Department of Justice and the District of Columbia Recycling Program.  This program provides recycling bins for plastic and paper throughout the Office and requires quarterly inspection of recycling plans and efforts.  We purchase recycled copier paper, re-use packing material, purchase ink and toner cartridges from companies that provide credit for recycling, and turn off lights and shut down computers and other office equipment before leaving each day.  Automatic light controls have been installed in infrequently used rooms and management has encouraged the staff to use webinars and video conferencing whenever possible to reduce travel.  </w:t>
      </w:r>
    </w:p>
    <w:p w:rsidR="00612F80" w:rsidRPr="00A0180D" w:rsidRDefault="00612F80" w:rsidP="001F5929">
      <w:pPr>
        <w:autoSpaceDE w:val="0"/>
        <w:autoSpaceDN w:val="0"/>
        <w:adjustRightInd w:val="0"/>
        <w:ind w:right="-1080"/>
        <w:rPr>
          <w:strike/>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377B7E" w:rsidRDefault="00377B7E" w:rsidP="00AA79B9">
      <w:pPr>
        <w:pStyle w:val="BodyText"/>
        <w:ind w:right="-1260"/>
        <w:rPr>
          <w:rFonts w:cs="Arial"/>
          <w:b/>
          <w:bCs/>
          <w:sz w:val="28"/>
          <w:szCs w:val="28"/>
        </w:rPr>
      </w:pPr>
    </w:p>
    <w:p w:rsidR="00612F80" w:rsidRPr="00D172B9" w:rsidRDefault="00612F80" w:rsidP="00AA79B9">
      <w:pPr>
        <w:pStyle w:val="BodyText"/>
        <w:ind w:right="-1260"/>
        <w:rPr>
          <w:rFonts w:cs="Arial"/>
          <w:b/>
          <w:bCs/>
          <w:sz w:val="28"/>
          <w:szCs w:val="28"/>
        </w:rPr>
      </w:pPr>
      <w:r w:rsidRPr="002C56C4">
        <w:rPr>
          <w:rFonts w:cs="Arial"/>
          <w:b/>
          <w:bCs/>
          <w:sz w:val="28"/>
          <w:szCs w:val="28"/>
        </w:rPr>
        <w:t>I. Summary of Program Changes</w:t>
      </w:r>
    </w:p>
    <w:p w:rsidR="003E21B2" w:rsidRDefault="003E21B2" w:rsidP="00AA79B9">
      <w:pPr>
        <w:pStyle w:val="BodyText"/>
        <w:ind w:right="-1260"/>
        <w:rPr>
          <w:rFonts w:cs="Arial"/>
          <w:b/>
          <w:bCs/>
          <w:i/>
          <w:iCs/>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0"/>
        <w:gridCol w:w="4463"/>
        <w:gridCol w:w="701"/>
        <w:gridCol w:w="706"/>
        <w:gridCol w:w="1487"/>
        <w:gridCol w:w="717"/>
      </w:tblGrid>
      <w:tr w:rsidR="00612F80" w:rsidRPr="00E22DA7" w:rsidTr="0061340E">
        <w:trPr>
          <w:cantSplit/>
        </w:trPr>
        <w:tc>
          <w:tcPr>
            <w:tcW w:w="1720" w:type="dxa"/>
            <w:vMerge w:val="restart"/>
            <w:shd w:val="clear" w:color="auto" w:fill="E6E6E6"/>
          </w:tcPr>
          <w:p w:rsidR="00612F80" w:rsidRPr="00E22DA7" w:rsidRDefault="00612F80" w:rsidP="00D55670">
            <w:pPr>
              <w:pStyle w:val="BodyText"/>
              <w:jc w:val="center"/>
              <w:rPr>
                <w:b/>
                <w:bCs/>
                <w:sz w:val="20"/>
              </w:rPr>
            </w:pPr>
          </w:p>
          <w:p w:rsidR="00612F80" w:rsidRPr="00E22DA7" w:rsidRDefault="00612F80" w:rsidP="00D55670">
            <w:pPr>
              <w:pStyle w:val="BodyText"/>
              <w:jc w:val="center"/>
              <w:rPr>
                <w:b/>
                <w:bCs/>
                <w:sz w:val="20"/>
              </w:rPr>
            </w:pPr>
            <w:r w:rsidRPr="00E22DA7">
              <w:rPr>
                <w:b/>
                <w:bCs/>
                <w:sz w:val="20"/>
              </w:rPr>
              <w:t>Item Name</w:t>
            </w:r>
          </w:p>
        </w:tc>
        <w:tc>
          <w:tcPr>
            <w:tcW w:w="7357" w:type="dxa"/>
            <w:gridSpan w:val="4"/>
            <w:shd w:val="clear" w:color="auto" w:fill="E6E6E6"/>
          </w:tcPr>
          <w:p w:rsidR="00612F80" w:rsidRPr="00E22DA7" w:rsidRDefault="00612F80" w:rsidP="00D55670">
            <w:pPr>
              <w:pStyle w:val="BodyText"/>
              <w:jc w:val="center"/>
              <w:rPr>
                <w:b/>
                <w:bCs/>
                <w:sz w:val="20"/>
              </w:rPr>
            </w:pPr>
          </w:p>
          <w:p w:rsidR="00612F80" w:rsidRPr="00E22DA7" w:rsidRDefault="00612F80" w:rsidP="00D55670">
            <w:pPr>
              <w:pStyle w:val="BodyText"/>
              <w:jc w:val="center"/>
              <w:rPr>
                <w:b/>
                <w:bCs/>
                <w:sz w:val="20"/>
              </w:rPr>
            </w:pPr>
            <w:r w:rsidRPr="00E22DA7">
              <w:rPr>
                <w:b/>
                <w:bCs/>
                <w:sz w:val="20"/>
              </w:rPr>
              <w:t>Description</w:t>
            </w:r>
          </w:p>
        </w:tc>
        <w:tc>
          <w:tcPr>
            <w:tcW w:w="717" w:type="dxa"/>
            <w:vMerge w:val="restart"/>
            <w:shd w:val="clear" w:color="auto" w:fill="E6E6E6"/>
          </w:tcPr>
          <w:p w:rsidR="00612F80" w:rsidRPr="00E22DA7" w:rsidRDefault="00612F80" w:rsidP="00D55670">
            <w:pPr>
              <w:pStyle w:val="BodyText"/>
              <w:jc w:val="center"/>
              <w:rPr>
                <w:b/>
                <w:bCs/>
                <w:sz w:val="20"/>
              </w:rPr>
            </w:pPr>
          </w:p>
          <w:p w:rsidR="00612F80" w:rsidRPr="00E22DA7" w:rsidRDefault="00612F80" w:rsidP="00D55670">
            <w:pPr>
              <w:pStyle w:val="BodyText"/>
              <w:jc w:val="center"/>
              <w:rPr>
                <w:b/>
                <w:bCs/>
                <w:sz w:val="20"/>
              </w:rPr>
            </w:pPr>
            <w:r w:rsidRPr="00E22DA7">
              <w:rPr>
                <w:b/>
                <w:bCs/>
                <w:sz w:val="20"/>
              </w:rPr>
              <w:t>Page</w:t>
            </w:r>
          </w:p>
        </w:tc>
      </w:tr>
      <w:tr w:rsidR="00612F80" w:rsidRPr="00E22DA7" w:rsidTr="0061340E">
        <w:trPr>
          <w:cantSplit/>
        </w:trPr>
        <w:tc>
          <w:tcPr>
            <w:tcW w:w="1720" w:type="dxa"/>
            <w:vMerge/>
          </w:tcPr>
          <w:p w:rsidR="00612F80" w:rsidRPr="00E22DA7" w:rsidRDefault="00612F80" w:rsidP="00D55670">
            <w:pPr>
              <w:pStyle w:val="BodyText"/>
              <w:jc w:val="center"/>
              <w:rPr>
                <w:b/>
                <w:bCs/>
                <w:sz w:val="20"/>
              </w:rPr>
            </w:pPr>
          </w:p>
        </w:tc>
        <w:tc>
          <w:tcPr>
            <w:tcW w:w="4463" w:type="dxa"/>
          </w:tcPr>
          <w:p w:rsidR="00612F80" w:rsidRPr="00E22DA7" w:rsidRDefault="00612F80" w:rsidP="00D55670">
            <w:pPr>
              <w:pStyle w:val="BodyText"/>
              <w:jc w:val="center"/>
              <w:rPr>
                <w:b/>
                <w:bCs/>
                <w:sz w:val="20"/>
              </w:rPr>
            </w:pPr>
          </w:p>
        </w:tc>
        <w:tc>
          <w:tcPr>
            <w:tcW w:w="701" w:type="dxa"/>
            <w:shd w:val="clear" w:color="auto" w:fill="F3F3F3"/>
          </w:tcPr>
          <w:p w:rsidR="00612F80" w:rsidRPr="00E22DA7" w:rsidRDefault="00612F80" w:rsidP="00D55670">
            <w:pPr>
              <w:pStyle w:val="BodyText"/>
              <w:jc w:val="center"/>
              <w:rPr>
                <w:b/>
                <w:bCs/>
                <w:sz w:val="20"/>
              </w:rPr>
            </w:pPr>
          </w:p>
          <w:p w:rsidR="00612F80" w:rsidRPr="00E22DA7" w:rsidRDefault="00612F80" w:rsidP="00D55670">
            <w:pPr>
              <w:pStyle w:val="BodyText"/>
              <w:jc w:val="center"/>
              <w:rPr>
                <w:b/>
                <w:bCs/>
                <w:sz w:val="20"/>
              </w:rPr>
            </w:pPr>
            <w:r w:rsidRPr="00E22DA7">
              <w:rPr>
                <w:b/>
                <w:bCs/>
                <w:sz w:val="20"/>
              </w:rPr>
              <w:t>Pos.</w:t>
            </w:r>
          </w:p>
        </w:tc>
        <w:tc>
          <w:tcPr>
            <w:tcW w:w="706" w:type="dxa"/>
            <w:shd w:val="clear" w:color="auto" w:fill="F3F3F3"/>
          </w:tcPr>
          <w:p w:rsidR="00612F80" w:rsidRPr="00E22DA7" w:rsidRDefault="00612F80" w:rsidP="00D55670">
            <w:pPr>
              <w:pStyle w:val="BodyText"/>
              <w:jc w:val="center"/>
              <w:rPr>
                <w:b/>
                <w:bCs/>
                <w:sz w:val="20"/>
              </w:rPr>
            </w:pPr>
          </w:p>
          <w:p w:rsidR="00612F80" w:rsidRPr="00E22DA7" w:rsidRDefault="00612F80" w:rsidP="00D55670">
            <w:pPr>
              <w:pStyle w:val="BodyText"/>
              <w:jc w:val="center"/>
              <w:rPr>
                <w:b/>
                <w:bCs/>
                <w:sz w:val="20"/>
              </w:rPr>
            </w:pPr>
            <w:r w:rsidRPr="00E22DA7">
              <w:rPr>
                <w:b/>
                <w:bCs/>
                <w:sz w:val="20"/>
              </w:rPr>
              <w:t>FTE</w:t>
            </w:r>
          </w:p>
        </w:tc>
        <w:tc>
          <w:tcPr>
            <w:tcW w:w="1487" w:type="dxa"/>
            <w:shd w:val="clear" w:color="auto" w:fill="F3F3F3"/>
          </w:tcPr>
          <w:p w:rsidR="00612F80" w:rsidRPr="00E22DA7" w:rsidRDefault="00612F80" w:rsidP="00D55670">
            <w:pPr>
              <w:pStyle w:val="BodyText"/>
              <w:jc w:val="center"/>
              <w:rPr>
                <w:b/>
                <w:bCs/>
                <w:sz w:val="20"/>
              </w:rPr>
            </w:pPr>
            <w:r w:rsidRPr="00E22DA7">
              <w:rPr>
                <w:b/>
                <w:bCs/>
                <w:sz w:val="20"/>
              </w:rPr>
              <w:t>Dollars ($000)</w:t>
            </w:r>
          </w:p>
        </w:tc>
        <w:tc>
          <w:tcPr>
            <w:tcW w:w="717" w:type="dxa"/>
            <w:vMerge/>
          </w:tcPr>
          <w:p w:rsidR="00612F80" w:rsidRPr="00E22DA7" w:rsidRDefault="00612F80" w:rsidP="00D55670">
            <w:pPr>
              <w:pStyle w:val="BodyText"/>
              <w:jc w:val="center"/>
              <w:rPr>
                <w:b/>
                <w:bCs/>
                <w:sz w:val="20"/>
              </w:rPr>
            </w:pPr>
          </w:p>
        </w:tc>
      </w:tr>
      <w:tr w:rsidR="00D05812" w:rsidRPr="00E22DA7" w:rsidTr="0061340E">
        <w:tc>
          <w:tcPr>
            <w:tcW w:w="1720" w:type="dxa"/>
          </w:tcPr>
          <w:p w:rsidR="00D05812" w:rsidRPr="003E21B2" w:rsidRDefault="002C56C4" w:rsidP="00D05812">
            <w:pPr>
              <w:pStyle w:val="BodyText"/>
              <w:rPr>
                <w:bCs/>
                <w:sz w:val="20"/>
              </w:rPr>
            </w:pPr>
            <w:r>
              <w:rPr>
                <w:bCs/>
                <w:sz w:val="20"/>
              </w:rPr>
              <w:t>Rural Domestic Violence/Child Abuse Enforcement</w:t>
            </w:r>
          </w:p>
        </w:tc>
        <w:tc>
          <w:tcPr>
            <w:tcW w:w="4463" w:type="dxa"/>
          </w:tcPr>
          <w:p w:rsidR="00D05812" w:rsidRPr="003E21B2" w:rsidRDefault="00D05812" w:rsidP="00EB57D6">
            <w:pPr>
              <w:pStyle w:val="BodyText"/>
              <w:jc w:val="center"/>
              <w:rPr>
                <w:bCs/>
                <w:sz w:val="20"/>
              </w:rPr>
            </w:pPr>
            <w:r w:rsidRPr="003E21B2">
              <w:rPr>
                <w:bCs/>
                <w:sz w:val="20"/>
              </w:rPr>
              <w:t xml:space="preserve">Grant Funding </w:t>
            </w:r>
            <w:r w:rsidR="00EB57D6">
              <w:rPr>
                <w:bCs/>
                <w:sz w:val="20"/>
              </w:rPr>
              <w:t xml:space="preserve">increase </w:t>
            </w:r>
            <w:r w:rsidRPr="003E21B2">
              <w:rPr>
                <w:bCs/>
                <w:sz w:val="20"/>
              </w:rPr>
              <w:t xml:space="preserve">to improve services </w:t>
            </w:r>
            <w:r w:rsidR="00EB57D6">
              <w:rPr>
                <w:bCs/>
                <w:sz w:val="20"/>
              </w:rPr>
              <w:t>Rural Domestic Program</w:t>
            </w:r>
          </w:p>
        </w:tc>
        <w:tc>
          <w:tcPr>
            <w:tcW w:w="701" w:type="dxa"/>
          </w:tcPr>
          <w:p w:rsidR="00D05812" w:rsidRPr="003E21B2" w:rsidRDefault="00D05812" w:rsidP="00D05812">
            <w:pPr>
              <w:pStyle w:val="BodyText"/>
              <w:jc w:val="center"/>
              <w:rPr>
                <w:bCs/>
                <w:sz w:val="20"/>
              </w:rPr>
            </w:pPr>
            <w:r w:rsidRPr="003E21B2">
              <w:rPr>
                <w:bCs/>
                <w:sz w:val="20"/>
              </w:rPr>
              <w:t>0</w:t>
            </w:r>
          </w:p>
          <w:p w:rsidR="00D05812" w:rsidRPr="003E21B2" w:rsidRDefault="00D05812" w:rsidP="00D05812">
            <w:pPr>
              <w:pStyle w:val="BodyText"/>
              <w:jc w:val="center"/>
              <w:rPr>
                <w:bCs/>
                <w:sz w:val="20"/>
              </w:rPr>
            </w:pPr>
          </w:p>
        </w:tc>
        <w:tc>
          <w:tcPr>
            <w:tcW w:w="706" w:type="dxa"/>
          </w:tcPr>
          <w:p w:rsidR="00D05812" w:rsidRPr="003E21B2" w:rsidRDefault="00D05812" w:rsidP="00D05812">
            <w:pPr>
              <w:pStyle w:val="BodyText"/>
              <w:jc w:val="center"/>
              <w:rPr>
                <w:bCs/>
                <w:sz w:val="20"/>
              </w:rPr>
            </w:pPr>
            <w:r w:rsidRPr="003E21B2">
              <w:rPr>
                <w:bCs/>
                <w:sz w:val="20"/>
              </w:rPr>
              <w:t>0</w:t>
            </w:r>
          </w:p>
        </w:tc>
        <w:tc>
          <w:tcPr>
            <w:tcW w:w="1487" w:type="dxa"/>
          </w:tcPr>
          <w:p w:rsidR="00D05812" w:rsidRPr="003E21B2" w:rsidRDefault="00D05812" w:rsidP="00D05812">
            <w:pPr>
              <w:pStyle w:val="BodyText"/>
              <w:jc w:val="center"/>
              <w:rPr>
                <w:bCs/>
                <w:sz w:val="20"/>
              </w:rPr>
            </w:pPr>
            <w:r>
              <w:rPr>
                <w:bCs/>
                <w:sz w:val="20"/>
              </w:rPr>
              <w:t>+$3,500</w:t>
            </w:r>
          </w:p>
          <w:p w:rsidR="00D05812" w:rsidRPr="003E21B2" w:rsidRDefault="00D05812" w:rsidP="00D05812">
            <w:pPr>
              <w:pStyle w:val="BodyText"/>
              <w:jc w:val="center"/>
              <w:rPr>
                <w:bCs/>
                <w:sz w:val="20"/>
              </w:rPr>
            </w:pPr>
          </w:p>
        </w:tc>
        <w:tc>
          <w:tcPr>
            <w:tcW w:w="717" w:type="dxa"/>
          </w:tcPr>
          <w:p w:rsidR="00D05812" w:rsidRPr="00F556EA" w:rsidRDefault="003B2E13" w:rsidP="00D05812">
            <w:pPr>
              <w:pStyle w:val="BodyText"/>
              <w:jc w:val="center"/>
              <w:rPr>
                <w:bCs/>
                <w:sz w:val="20"/>
              </w:rPr>
            </w:pPr>
            <w:r>
              <w:rPr>
                <w:bCs/>
                <w:sz w:val="20"/>
              </w:rPr>
              <w:t>23</w:t>
            </w:r>
          </w:p>
        </w:tc>
      </w:tr>
      <w:tr w:rsidR="00D05812" w:rsidRPr="00E22DA7" w:rsidTr="0061340E">
        <w:tc>
          <w:tcPr>
            <w:tcW w:w="1720" w:type="dxa"/>
          </w:tcPr>
          <w:p w:rsidR="00D05812" w:rsidRPr="003E21B2" w:rsidRDefault="00D05812" w:rsidP="00D05812">
            <w:pPr>
              <w:pStyle w:val="BodyText"/>
              <w:rPr>
                <w:bCs/>
                <w:sz w:val="20"/>
              </w:rPr>
            </w:pPr>
            <w:r w:rsidRPr="003E21B2">
              <w:rPr>
                <w:bCs/>
                <w:sz w:val="20"/>
              </w:rPr>
              <w:t>STOP Program</w:t>
            </w:r>
            <w:r w:rsidR="00361626">
              <w:rPr>
                <w:bCs/>
                <w:sz w:val="20"/>
              </w:rPr>
              <w:t>*</w:t>
            </w:r>
          </w:p>
        </w:tc>
        <w:tc>
          <w:tcPr>
            <w:tcW w:w="4463" w:type="dxa"/>
          </w:tcPr>
          <w:p w:rsidR="00D05812" w:rsidRPr="003E21B2" w:rsidRDefault="00D05812" w:rsidP="00D05812">
            <w:pPr>
              <w:pStyle w:val="BodyText"/>
              <w:jc w:val="center"/>
              <w:rPr>
                <w:bCs/>
                <w:sz w:val="20"/>
              </w:rPr>
            </w:pPr>
            <w:r>
              <w:rPr>
                <w:bCs/>
                <w:sz w:val="20"/>
              </w:rPr>
              <w:t>A portion of the total funding for the STOP Program is being requested under the Crime Victims Fund under OJP</w:t>
            </w:r>
            <w:r w:rsidRPr="003E21B2">
              <w:rPr>
                <w:bCs/>
                <w:sz w:val="20"/>
              </w:rPr>
              <w:t>.</w:t>
            </w:r>
          </w:p>
          <w:p w:rsidR="00D05812" w:rsidRPr="003E21B2" w:rsidRDefault="00D05812" w:rsidP="00D05812">
            <w:pPr>
              <w:pStyle w:val="BodyText"/>
              <w:jc w:val="center"/>
              <w:rPr>
                <w:bCs/>
                <w:sz w:val="20"/>
              </w:rPr>
            </w:pPr>
          </w:p>
        </w:tc>
        <w:tc>
          <w:tcPr>
            <w:tcW w:w="701" w:type="dxa"/>
          </w:tcPr>
          <w:p w:rsidR="00D05812" w:rsidRPr="003E21B2" w:rsidRDefault="00D05812" w:rsidP="00D05812">
            <w:pPr>
              <w:pStyle w:val="BodyText"/>
              <w:jc w:val="center"/>
              <w:rPr>
                <w:bCs/>
                <w:sz w:val="20"/>
              </w:rPr>
            </w:pPr>
            <w:r w:rsidRPr="003E21B2">
              <w:rPr>
                <w:bCs/>
                <w:sz w:val="20"/>
              </w:rPr>
              <w:t>0</w:t>
            </w:r>
          </w:p>
        </w:tc>
        <w:tc>
          <w:tcPr>
            <w:tcW w:w="706" w:type="dxa"/>
          </w:tcPr>
          <w:p w:rsidR="00D05812" w:rsidRPr="003E21B2" w:rsidRDefault="00D05812" w:rsidP="00D05812">
            <w:pPr>
              <w:pStyle w:val="BodyText"/>
              <w:jc w:val="center"/>
              <w:rPr>
                <w:bCs/>
                <w:sz w:val="20"/>
              </w:rPr>
            </w:pPr>
            <w:r w:rsidRPr="003E21B2">
              <w:rPr>
                <w:bCs/>
                <w:sz w:val="20"/>
              </w:rPr>
              <w:t>0</w:t>
            </w:r>
          </w:p>
        </w:tc>
        <w:tc>
          <w:tcPr>
            <w:tcW w:w="1487" w:type="dxa"/>
          </w:tcPr>
          <w:p w:rsidR="00D05812" w:rsidRPr="003E21B2" w:rsidRDefault="00D05812" w:rsidP="00D05812">
            <w:pPr>
              <w:pStyle w:val="BodyText"/>
              <w:jc w:val="center"/>
              <w:rPr>
                <w:bCs/>
                <w:sz w:val="20"/>
              </w:rPr>
            </w:pPr>
            <w:r>
              <w:rPr>
                <w:bCs/>
                <w:sz w:val="20"/>
              </w:rPr>
              <w:t>-144,500</w:t>
            </w:r>
          </w:p>
        </w:tc>
        <w:tc>
          <w:tcPr>
            <w:tcW w:w="717" w:type="dxa"/>
          </w:tcPr>
          <w:p w:rsidR="00D05812" w:rsidRPr="00F556EA" w:rsidRDefault="003B2E13" w:rsidP="00D05812">
            <w:pPr>
              <w:pStyle w:val="BodyText"/>
              <w:jc w:val="center"/>
              <w:rPr>
                <w:bCs/>
                <w:sz w:val="20"/>
              </w:rPr>
            </w:pPr>
            <w:r>
              <w:rPr>
                <w:bCs/>
                <w:sz w:val="20"/>
              </w:rPr>
              <w:t>24</w:t>
            </w:r>
          </w:p>
        </w:tc>
      </w:tr>
      <w:tr w:rsidR="00D05812" w:rsidRPr="00E22DA7" w:rsidTr="0061340E">
        <w:trPr>
          <w:trHeight w:val="953"/>
        </w:trPr>
        <w:tc>
          <w:tcPr>
            <w:tcW w:w="1720" w:type="dxa"/>
          </w:tcPr>
          <w:p w:rsidR="00D05812" w:rsidRPr="003E21B2" w:rsidRDefault="00D05812" w:rsidP="00CA25D8">
            <w:pPr>
              <w:pStyle w:val="BodyText"/>
              <w:rPr>
                <w:bCs/>
                <w:sz w:val="20"/>
              </w:rPr>
            </w:pPr>
            <w:r>
              <w:rPr>
                <w:bCs/>
                <w:sz w:val="20"/>
              </w:rPr>
              <w:t>Transitional Housing</w:t>
            </w:r>
          </w:p>
        </w:tc>
        <w:tc>
          <w:tcPr>
            <w:tcW w:w="4463" w:type="dxa"/>
          </w:tcPr>
          <w:p w:rsidR="00D05812" w:rsidRPr="003E21B2" w:rsidRDefault="00D05812" w:rsidP="00EA7DB2">
            <w:pPr>
              <w:pStyle w:val="BodyText"/>
              <w:jc w:val="center"/>
              <w:rPr>
                <w:bCs/>
                <w:sz w:val="20"/>
              </w:rPr>
            </w:pPr>
            <w:r w:rsidRPr="003E21B2">
              <w:rPr>
                <w:bCs/>
                <w:sz w:val="20"/>
              </w:rPr>
              <w:t xml:space="preserve">Grant funding offset </w:t>
            </w:r>
            <w:r w:rsidR="00EA7DB2">
              <w:rPr>
                <w:bCs/>
                <w:sz w:val="20"/>
              </w:rPr>
              <w:t>to improve services in Rural Domestic Violence/Child Abuse Enforcement</w:t>
            </w:r>
            <w:r w:rsidRPr="003E21B2">
              <w:rPr>
                <w:bCs/>
                <w:sz w:val="20"/>
              </w:rPr>
              <w:t xml:space="preserve"> </w:t>
            </w:r>
          </w:p>
        </w:tc>
        <w:tc>
          <w:tcPr>
            <w:tcW w:w="701" w:type="dxa"/>
          </w:tcPr>
          <w:p w:rsidR="00D05812" w:rsidRPr="003E21B2" w:rsidRDefault="00D05812" w:rsidP="00CA25D8">
            <w:pPr>
              <w:pStyle w:val="BodyText"/>
              <w:jc w:val="center"/>
              <w:rPr>
                <w:bCs/>
                <w:sz w:val="20"/>
              </w:rPr>
            </w:pPr>
            <w:r w:rsidRPr="003E21B2">
              <w:rPr>
                <w:bCs/>
                <w:sz w:val="20"/>
              </w:rPr>
              <w:t>0</w:t>
            </w:r>
          </w:p>
          <w:p w:rsidR="00D05812" w:rsidRPr="003E21B2" w:rsidRDefault="00D05812" w:rsidP="00CA25D8">
            <w:pPr>
              <w:pStyle w:val="BodyText"/>
              <w:jc w:val="center"/>
              <w:rPr>
                <w:bCs/>
                <w:sz w:val="20"/>
              </w:rPr>
            </w:pPr>
          </w:p>
        </w:tc>
        <w:tc>
          <w:tcPr>
            <w:tcW w:w="706" w:type="dxa"/>
          </w:tcPr>
          <w:p w:rsidR="00D05812" w:rsidRPr="003E21B2" w:rsidRDefault="00D05812" w:rsidP="00CA25D8">
            <w:pPr>
              <w:pStyle w:val="BodyText"/>
              <w:jc w:val="center"/>
              <w:rPr>
                <w:bCs/>
                <w:sz w:val="20"/>
              </w:rPr>
            </w:pPr>
            <w:r w:rsidRPr="003E21B2">
              <w:rPr>
                <w:bCs/>
                <w:sz w:val="20"/>
              </w:rPr>
              <w:t>0</w:t>
            </w:r>
          </w:p>
        </w:tc>
        <w:tc>
          <w:tcPr>
            <w:tcW w:w="1487" w:type="dxa"/>
          </w:tcPr>
          <w:p w:rsidR="00D05812" w:rsidRPr="003E21B2" w:rsidRDefault="00EA7DB2" w:rsidP="00EA7DB2">
            <w:pPr>
              <w:pStyle w:val="BodyText"/>
              <w:jc w:val="center"/>
              <w:rPr>
                <w:bCs/>
                <w:sz w:val="20"/>
              </w:rPr>
            </w:pPr>
            <w:r>
              <w:rPr>
                <w:bCs/>
                <w:sz w:val="20"/>
              </w:rPr>
              <w:t>-3,000</w:t>
            </w:r>
          </w:p>
        </w:tc>
        <w:tc>
          <w:tcPr>
            <w:tcW w:w="717" w:type="dxa"/>
          </w:tcPr>
          <w:p w:rsidR="00D05812" w:rsidRPr="00F556EA" w:rsidRDefault="003B2E13" w:rsidP="00D55670">
            <w:pPr>
              <w:pStyle w:val="BodyText"/>
              <w:jc w:val="center"/>
              <w:rPr>
                <w:bCs/>
                <w:sz w:val="20"/>
                <w:highlight w:val="yellow"/>
              </w:rPr>
            </w:pPr>
            <w:r>
              <w:rPr>
                <w:bCs/>
                <w:sz w:val="20"/>
              </w:rPr>
              <w:t>25</w:t>
            </w:r>
          </w:p>
        </w:tc>
      </w:tr>
      <w:tr w:rsidR="00D05812" w:rsidRPr="00E22DA7" w:rsidTr="0061340E">
        <w:tc>
          <w:tcPr>
            <w:tcW w:w="1720" w:type="dxa"/>
          </w:tcPr>
          <w:p w:rsidR="00D05812" w:rsidRPr="003E21B2" w:rsidRDefault="00D05812" w:rsidP="00CA25D8">
            <w:pPr>
              <w:pStyle w:val="BodyText"/>
              <w:rPr>
                <w:bCs/>
                <w:sz w:val="20"/>
              </w:rPr>
            </w:pPr>
            <w:r w:rsidRPr="003E21B2">
              <w:rPr>
                <w:bCs/>
                <w:sz w:val="20"/>
              </w:rPr>
              <w:t>National Resource Center</w:t>
            </w:r>
          </w:p>
        </w:tc>
        <w:tc>
          <w:tcPr>
            <w:tcW w:w="4463" w:type="dxa"/>
          </w:tcPr>
          <w:p w:rsidR="00D05812" w:rsidRPr="003E21B2" w:rsidRDefault="00EA7DB2" w:rsidP="00D154EE">
            <w:pPr>
              <w:pStyle w:val="BodyText"/>
              <w:jc w:val="center"/>
              <w:rPr>
                <w:bCs/>
                <w:sz w:val="20"/>
              </w:rPr>
            </w:pPr>
            <w:r w:rsidRPr="003E21B2">
              <w:rPr>
                <w:bCs/>
                <w:sz w:val="20"/>
              </w:rPr>
              <w:t xml:space="preserve">Grant funding offset </w:t>
            </w:r>
            <w:r>
              <w:rPr>
                <w:bCs/>
                <w:sz w:val="20"/>
              </w:rPr>
              <w:t>to improve services in Rural Domestic Violence/Child Abuse Enforcement</w:t>
            </w:r>
          </w:p>
        </w:tc>
        <w:tc>
          <w:tcPr>
            <w:tcW w:w="701" w:type="dxa"/>
          </w:tcPr>
          <w:p w:rsidR="00D05812" w:rsidRPr="003E21B2" w:rsidRDefault="00D05812" w:rsidP="00697E94">
            <w:pPr>
              <w:pStyle w:val="BodyText"/>
              <w:jc w:val="center"/>
              <w:rPr>
                <w:bCs/>
                <w:sz w:val="20"/>
              </w:rPr>
            </w:pPr>
            <w:r w:rsidRPr="003E21B2">
              <w:rPr>
                <w:bCs/>
                <w:sz w:val="20"/>
              </w:rPr>
              <w:t>0</w:t>
            </w:r>
          </w:p>
          <w:p w:rsidR="00D05812" w:rsidRPr="003E21B2" w:rsidRDefault="00D05812" w:rsidP="00CA25D8">
            <w:pPr>
              <w:pStyle w:val="BodyText"/>
              <w:jc w:val="center"/>
              <w:rPr>
                <w:bCs/>
                <w:sz w:val="20"/>
              </w:rPr>
            </w:pPr>
          </w:p>
        </w:tc>
        <w:tc>
          <w:tcPr>
            <w:tcW w:w="706" w:type="dxa"/>
          </w:tcPr>
          <w:p w:rsidR="00D05812" w:rsidRPr="003E21B2" w:rsidRDefault="00D05812" w:rsidP="00CA25D8">
            <w:pPr>
              <w:pStyle w:val="BodyText"/>
              <w:jc w:val="center"/>
              <w:rPr>
                <w:bCs/>
                <w:sz w:val="20"/>
              </w:rPr>
            </w:pPr>
            <w:r w:rsidRPr="003E21B2">
              <w:rPr>
                <w:bCs/>
                <w:sz w:val="20"/>
              </w:rPr>
              <w:t>0</w:t>
            </w:r>
          </w:p>
        </w:tc>
        <w:tc>
          <w:tcPr>
            <w:tcW w:w="1487" w:type="dxa"/>
          </w:tcPr>
          <w:p w:rsidR="00D05812" w:rsidRPr="003E21B2" w:rsidRDefault="00EA7DB2" w:rsidP="00C83C93">
            <w:pPr>
              <w:pStyle w:val="BodyText"/>
              <w:jc w:val="center"/>
              <w:rPr>
                <w:bCs/>
                <w:sz w:val="20"/>
              </w:rPr>
            </w:pPr>
            <w:r>
              <w:rPr>
                <w:bCs/>
                <w:sz w:val="20"/>
              </w:rPr>
              <w:t>-500</w:t>
            </w:r>
          </w:p>
        </w:tc>
        <w:tc>
          <w:tcPr>
            <w:tcW w:w="717" w:type="dxa"/>
          </w:tcPr>
          <w:p w:rsidR="00D05812" w:rsidRPr="00F556EA" w:rsidDel="00697E94" w:rsidRDefault="003B2E13" w:rsidP="00D55670">
            <w:pPr>
              <w:pStyle w:val="BodyText"/>
              <w:jc w:val="center"/>
              <w:rPr>
                <w:bCs/>
                <w:sz w:val="20"/>
                <w:highlight w:val="yellow"/>
              </w:rPr>
            </w:pPr>
            <w:r>
              <w:rPr>
                <w:bCs/>
                <w:sz w:val="20"/>
              </w:rPr>
              <w:t>26</w:t>
            </w:r>
          </w:p>
        </w:tc>
      </w:tr>
    </w:tbl>
    <w:p w:rsidR="00F556EA" w:rsidRPr="00361626" w:rsidRDefault="00F556EA" w:rsidP="00EB3FEA">
      <w:pPr>
        <w:pStyle w:val="BodyText"/>
        <w:ind w:right="-1080"/>
        <w:rPr>
          <w:b/>
          <w:bCs/>
          <w:sz w:val="20"/>
        </w:rPr>
      </w:pPr>
    </w:p>
    <w:p w:rsidR="00857492" w:rsidRPr="00361626" w:rsidRDefault="00361626" w:rsidP="00857492">
      <w:pPr>
        <w:pStyle w:val="xl19"/>
        <w:tabs>
          <w:tab w:val="right" w:leader="dot" w:pos="7920"/>
          <w:tab w:val="right" w:leader="dot" w:pos="8730"/>
        </w:tabs>
        <w:spacing w:before="0" w:after="0"/>
        <w:ind w:right="-540"/>
        <w:outlineLvl w:val="0"/>
        <w:rPr>
          <w:b/>
          <w:bCs/>
          <w:sz w:val="20"/>
        </w:rPr>
      </w:pPr>
      <w:r w:rsidRPr="00361626">
        <w:rPr>
          <w:b/>
          <w:bCs/>
          <w:sz w:val="20"/>
        </w:rPr>
        <w:t>*Note:  While STOP shows as a $144.5 million decrease in discretionary funding, the FY 2013 budget request includes $144.5 million from the Crime Victims Fund mandatory funding for OVW STOP.  Therefore, the overall STOP total of $189 million is equal to FY 2012.</w:t>
      </w:r>
    </w:p>
    <w:p w:rsidR="0093539F" w:rsidRDefault="0093539F" w:rsidP="00E5393A">
      <w:pPr>
        <w:rPr>
          <w:iCs/>
        </w:rPr>
      </w:pPr>
    </w:p>
    <w:p w:rsidR="0093539F" w:rsidRDefault="0093539F" w:rsidP="0093539F">
      <w:r>
        <w:rPr>
          <w:b/>
          <w:sz w:val="28"/>
          <w:szCs w:val="28"/>
        </w:rPr>
        <w:t>II. Appropriations Language and Analysis of Appropriations Language</w:t>
      </w:r>
    </w:p>
    <w:p w:rsidR="0093539F" w:rsidRDefault="0093539F" w:rsidP="0093539F"/>
    <w:p w:rsidR="0093539F" w:rsidRDefault="0093539F" w:rsidP="0093539F">
      <w:pPr>
        <w:rPr>
          <w:i/>
        </w:rPr>
      </w:pPr>
    </w:p>
    <w:p w:rsidR="0093539F" w:rsidRDefault="0093539F" w:rsidP="0093539F">
      <w:pPr>
        <w:autoSpaceDE w:val="0"/>
        <w:autoSpaceDN w:val="0"/>
        <w:adjustRightInd w:val="0"/>
        <w:jc w:val="center"/>
      </w:pPr>
      <w:r>
        <w:t>OFFICE ON VIOLENCE AGAINST WOMEN</w:t>
      </w:r>
    </w:p>
    <w:p w:rsidR="0093539F" w:rsidRDefault="0093539F" w:rsidP="0093539F">
      <w:pPr>
        <w:autoSpaceDE w:val="0"/>
        <w:autoSpaceDN w:val="0"/>
        <w:adjustRightInd w:val="0"/>
        <w:jc w:val="center"/>
      </w:pPr>
      <w:r>
        <w:t>VIOLENCE AGAINST WOMEN PREVENTION AND PROSECUTION PROGRAMS</w:t>
      </w:r>
    </w:p>
    <w:p w:rsidR="0093539F" w:rsidRDefault="0093539F" w:rsidP="0093539F">
      <w:pPr>
        <w:autoSpaceDE w:val="0"/>
        <w:autoSpaceDN w:val="0"/>
        <w:adjustRightInd w:val="0"/>
        <w:jc w:val="center"/>
      </w:pPr>
      <w:r>
        <w:t>(INCLUDING TRANSFER OF FUNDS)</w:t>
      </w:r>
    </w:p>
    <w:p w:rsidR="0093539F" w:rsidRDefault="0093539F" w:rsidP="0093539F">
      <w:pPr>
        <w:autoSpaceDE w:val="0"/>
        <w:autoSpaceDN w:val="0"/>
        <w:adjustRightInd w:val="0"/>
        <w:rPr>
          <w:i/>
          <w:iCs/>
        </w:rPr>
      </w:pPr>
    </w:p>
    <w:p w:rsidR="00DA5382" w:rsidRPr="00E220A3" w:rsidRDefault="00D76986" w:rsidP="00DA5382">
      <w:pPr>
        <w:rPr>
          <w:rFonts w:ascii="Calibri" w:hAnsi="Calibri"/>
          <w:color w:val="000000"/>
        </w:rPr>
      </w:pPr>
      <w:proofErr w:type="gramStart"/>
      <w:r w:rsidRPr="00D76986">
        <w:rPr>
          <w:rFonts w:ascii="Calibri" w:hAnsi="Calibri"/>
          <w:color w:val="000000"/>
        </w:rPr>
        <w:t>For grants, contracts, cooperative agreements, and other assistance for the prevention and prosecution of violence against women, as authorized by the Omnibus Crime Control and Safe Streets Act of 1968 (42 U.S.C. 3711 et seq.)</w:t>
      </w:r>
      <w:proofErr w:type="gramEnd"/>
      <w:r w:rsidRPr="00D76986">
        <w:rPr>
          <w:rFonts w:ascii="Calibri" w:hAnsi="Calibri"/>
          <w:color w:val="000000"/>
        </w:rPr>
        <w:t xml:space="preserve"> (``the 1968 Act''); the Violent Crime Control and Law Enforcement Act of 1994 (Public Law 103-322) (``the 1994 Act''); the Victims of Child Abuse Act of 1990 (Public Law 101-647) (``the 1990 Act''); the Prosecutorial Remedies and Other Tools to end the Exploitation of Children Today Act of 2003 (Public Law 108-21); the Juvenile Justice and Delinquency Prevention Act of 1974 (42 U.S.C. 5601 et seq.) (``the 1974 Act''); the Victims of Trafficking and Violence Protection Act of 2000 (Public Law 106-386) (``the 2000 Act''); and the Violence Against Women and Department of Justice Reauthorization Act of 2005 (Public Law 109-162) (``the 2005 Act''); and for related victims services, [$412,500,000]</w:t>
      </w:r>
      <w:r w:rsidRPr="00D76986">
        <w:rPr>
          <w:rFonts w:ascii="Calibri" w:hAnsi="Calibri"/>
          <w:i/>
          <w:color w:val="000000"/>
          <w:u w:val="single"/>
        </w:rPr>
        <w:t>$268,000,000</w:t>
      </w:r>
      <w:r w:rsidR="00DA5382" w:rsidRPr="00DA5382">
        <w:rPr>
          <w:rFonts w:ascii="Calibri" w:hAnsi="Calibri"/>
          <w:i/>
          <w:color w:val="000000"/>
        </w:rPr>
        <w:t xml:space="preserve">, </w:t>
      </w:r>
      <w:r w:rsidRPr="00D76986">
        <w:rPr>
          <w:rFonts w:ascii="Calibri" w:hAnsi="Calibri"/>
          <w:color w:val="000000"/>
        </w:rPr>
        <w:t xml:space="preserve">to </w:t>
      </w:r>
      <w:r w:rsidRPr="00D76986">
        <w:rPr>
          <w:rFonts w:ascii="Calibri" w:hAnsi="Calibri"/>
          <w:color w:val="000000"/>
        </w:rPr>
        <w:lastRenderedPageBreak/>
        <w:t>remain available until expended: Provided, That except as otherwise provided by law, not to exceed</w:t>
      </w:r>
      <w:r w:rsidR="00DA5382" w:rsidRPr="00DA5382">
        <w:rPr>
          <w:rFonts w:ascii="Calibri" w:hAnsi="Calibri"/>
          <w:i/>
          <w:color w:val="000000"/>
        </w:rPr>
        <w:t xml:space="preserve"> [3]</w:t>
      </w:r>
      <w:r w:rsidRPr="00D76986">
        <w:rPr>
          <w:rFonts w:ascii="Calibri" w:hAnsi="Calibri"/>
          <w:i/>
          <w:color w:val="000000"/>
          <w:u w:val="single"/>
        </w:rPr>
        <w:t xml:space="preserve">8 </w:t>
      </w:r>
      <w:r w:rsidRPr="00D76986">
        <w:rPr>
          <w:rFonts w:ascii="Calibri" w:hAnsi="Calibri"/>
          <w:color w:val="000000"/>
        </w:rPr>
        <w:t xml:space="preserve">percent of funds made available under this heading may be used for expenses related to evaluation, training, and technical assistance:  Provided further, That of the amount provided_ </w:t>
      </w:r>
    </w:p>
    <w:p w:rsidR="00DA5382" w:rsidRPr="00E220A3" w:rsidRDefault="00D76986" w:rsidP="00DA5382">
      <w:pPr>
        <w:rPr>
          <w:rFonts w:ascii="Calibri" w:hAnsi="Calibri"/>
          <w:color w:val="000000"/>
        </w:rPr>
      </w:pPr>
      <w:r w:rsidRPr="00D76986">
        <w:rPr>
          <w:rFonts w:ascii="Calibri" w:hAnsi="Calibri"/>
          <w:color w:val="000000"/>
        </w:rPr>
        <w:t>(1) [$189,000,000</w:t>
      </w:r>
      <w:proofErr w:type="gramStart"/>
      <w:r w:rsidRPr="00D76986">
        <w:rPr>
          <w:rFonts w:ascii="Calibri" w:hAnsi="Calibri"/>
          <w:color w:val="000000"/>
        </w:rPr>
        <w:t>]</w:t>
      </w:r>
      <w:r w:rsidRPr="00D76986">
        <w:rPr>
          <w:rFonts w:ascii="Calibri" w:hAnsi="Calibri"/>
          <w:i/>
          <w:color w:val="000000"/>
          <w:u w:val="single"/>
        </w:rPr>
        <w:t>$</w:t>
      </w:r>
      <w:proofErr w:type="gramEnd"/>
      <w:r w:rsidRPr="00D76986">
        <w:rPr>
          <w:rFonts w:ascii="Calibri" w:hAnsi="Calibri"/>
          <w:i/>
          <w:color w:val="000000"/>
          <w:u w:val="single"/>
        </w:rPr>
        <w:t>44,500,000</w:t>
      </w:r>
      <w:r w:rsidR="00DA5382" w:rsidRPr="00DA5382">
        <w:rPr>
          <w:rFonts w:ascii="Calibri" w:hAnsi="Calibri"/>
          <w:i/>
          <w:color w:val="000000"/>
        </w:rPr>
        <w:t xml:space="preserve"> </w:t>
      </w:r>
      <w:r w:rsidRPr="00D76986">
        <w:rPr>
          <w:rFonts w:ascii="Calibri" w:hAnsi="Calibri"/>
          <w:color w:val="000000"/>
        </w:rPr>
        <w:t>is for grants to combat violence against women, as authorized by part T of the 1968 Act;</w:t>
      </w:r>
    </w:p>
    <w:p w:rsidR="00DA5382" w:rsidRPr="00E220A3" w:rsidRDefault="00D76986" w:rsidP="00DA5382">
      <w:pPr>
        <w:rPr>
          <w:rFonts w:ascii="Calibri" w:hAnsi="Calibri"/>
          <w:color w:val="000000"/>
        </w:rPr>
      </w:pPr>
      <w:r w:rsidRPr="00D76986">
        <w:rPr>
          <w:rFonts w:ascii="Calibri" w:hAnsi="Calibri"/>
          <w:color w:val="000000"/>
        </w:rPr>
        <w:t>(2) [$25,000,000</w:t>
      </w:r>
      <w:proofErr w:type="gramStart"/>
      <w:r w:rsidRPr="00D76986">
        <w:rPr>
          <w:rFonts w:ascii="Calibri" w:hAnsi="Calibri"/>
          <w:color w:val="000000"/>
        </w:rPr>
        <w:t>]</w:t>
      </w:r>
      <w:r w:rsidRPr="00D76986">
        <w:rPr>
          <w:rFonts w:ascii="Calibri" w:hAnsi="Calibri"/>
          <w:i/>
          <w:color w:val="000000"/>
          <w:u w:val="single"/>
        </w:rPr>
        <w:t>$</w:t>
      </w:r>
      <w:proofErr w:type="gramEnd"/>
      <w:r w:rsidRPr="00D76986">
        <w:rPr>
          <w:rFonts w:ascii="Calibri" w:hAnsi="Calibri"/>
          <w:i/>
          <w:color w:val="000000"/>
          <w:u w:val="single"/>
        </w:rPr>
        <w:t>22,000,000</w:t>
      </w:r>
      <w:r w:rsidR="00DA5382" w:rsidRPr="00DA5382">
        <w:rPr>
          <w:rFonts w:ascii="Calibri" w:hAnsi="Calibri"/>
          <w:i/>
          <w:color w:val="000000"/>
        </w:rPr>
        <w:t xml:space="preserve"> </w:t>
      </w:r>
      <w:r w:rsidRPr="00D76986">
        <w:rPr>
          <w:rFonts w:ascii="Calibri" w:hAnsi="Calibri"/>
          <w:color w:val="000000"/>
        </w:rPr>
        <w:t>is for transitional housing assistance grants for victims of domestic violence, stalking or sexual assault as authorized by section 40299 of the 1994 Act;</w:t>
      </w:r>
    </w:p>
    <w:p w:rsidR="00DA5382" w:rsidRPr="005B3E0F" w:rsidRDefault="00D76986" w:rsidP="00DA5382">
      <w:pPr>
        <w:rPr>
          <w:rFonts w:ascii="Calibri" w:hAnsi="Calibri"/>
          <w:bCs/>
          <w:i/>
          <w:color w:val="000000"/>
        </w:rPr>
      </w:pPr>
      <w:r w:rsidRPr="00D76986">
        <w:rPr>
          <w:rFonts w:ascii="Calibri" w:hAnsi="Calibri"/>
          <w:bCs/>
          <w:color w:val="000000"/>
        </w:rPr>
        <w:t>(3) $3,000,000</w:t>
      </w:r>
      <w:r w:rsidR="00CF0733">
        <w:rPr>
          <w:rFonts w:ascii="Calibri" w:hAnsi="Calibri"/>
          <w:bCs/>
          <w:color w:val="000000"/>
        </w:rPr>
        <w:t xml:space="preserve"> </w:t>
      </w:r>
      <w:r w:rsidRPr="00D76986">
        <w:rPr>
          <w:rFonts w:ascii="Calibri" w:hAnsi="Calibri"/>
          <w:bCs/>
          <w:color w:val="000000"/>
        </w:rPr>
        <w:t>is for the National Institute of Justice for research and evaluation of violence against women and related issues addressed by grant programs of the Office on Violence Against Women</w:t>
      </w:r>
      <w:r w:rsidRPr="00D76986">
        <w:rPr>
          <w:rFonts w:ascii="Calibri" w:hAnsi="Calibri"/>
          <w:bCs/>
          <w:i/>
          <w:color w:val="000000"/>
          <w:u w:val="single"/>
        </w:rPr>
        <w:t>, which shall be transferred to "Research, Evaluation, and Statistics" for administration by the Office of Justice Programs</w:t>
      </w:r>
      <w:r w:rsidR="00DA5382" w:rsidRPr="005B3E0F">
        <w:rPr>
          <w:rFonts w:ascii="Calibri" w:hAnsi="Calibri"/>
          <w:bCs/>
          <w:i/>
          <w:color w:val="000000"/>
        </w:rPr>
        <w:t xml:space="preserve">; </w:t>
      </w:r>
    </w:p>
    <w:p w:rsidR="00DA5382" w:rsidRPr="00E220A3" w:rsidRDefault="00D76986" w:rsidP="00DA5382">
      <w:pPr>
        <w:rPr>
          <w:rFonts w:ascii="Calibri" w:hAnsi="Calibri"/>
          <w:i/>
          <w:color w:val="000000"/>
          <w:u w:val="single"/>
        </w:rPr>
      </w:pPr>
      <w:r w:rsidRPr="00D76986">
        <w:rPr>
          <w:rFonts w:ascii="Calibri" w:hAnsi="Calibri"/>
          <w:color w:val="000000"/>
        </w:rPr>
        <w:t xml:space="preserve">(4) $10,000,000 is for a grant program to provide services to advocate for and respond to youth victims of domestic violence, dating violence, sexual assault, and stalking; assistance to children and youth exposed to such violence; programs to engage men and youth in preventing such violence; and assistance to middle and high school students through education and other services related to such violence: Provided, That unobligated balances available for the programs authorized by sections 41201, 41204, 41303 and 41305 of the 1994 Act shall be available for this program: Provided further, That 10 percent of the total amount available for this grant program shall be available for grants under the program authorized by section 2015 of the 1968 Act; </w:t>
      </w:r>
      <w:r w:rsidRPr="00D76986">
        <w:rPr>
          <w:rFonts w:ascii="Calibri" w:hAnsi="Calibri"/>
          <w:i/>
          <w:color w:val="000000"/>
          <w:u w:val="single"/>
        </w:rPr>
        <w:t>Provided further, That the definitions and grant conditions in section 40002 of the 1994 Act shall apply to this program;</w:t>
      </w:r>
    </w:p>
    <w:p w:rsidR="00DA5382" w:rsidRPr="00E220A3" w:rsidRDefault="00D76986" w:rsidP="00DA5382">
      <w:pPr>
        <w:rPr>
          <w:rFonts w:ascii="Calibri" w:hAnsi="Calibri"/>
          <w:color w:val="000000"/>
        </w:rPr>
      </w:pPr>
      <w:r w:rsidRPr="00D76986">
        <w:rPr>
          <w:rFonts w:ascii="Calibri" w:hAnsi="Calibri"/>
          <w:color w:val="000000"/>
        </w:rPr>
        <w:t>(5) $50,000,000 is for grants to encourage arrest policies as authorized by part U of the 1968 Act, of which $4,000,000 is for a homicide reduction initiative;</w:t>
      </w:r>
    </w:p>
    <w:p w:rsidR="00DA5382" w:rsidRPr="00E220A3" w:rsidRDefault="00D76986" w:rsidP="00DA5382">
      <w:pPr>
        <w:rPr>
          <w:rFonts w:ascii="Calibri" w:hAnsi="Calibri"/>
          <w:color w:val="000000"/>
        </w:rPr>
      </w:pPr>
      <w:r w:rsidRPr="00D76986">
        <w:rPr>
          <w:rFonts w:ascii="Calibri" w:hAnsi="Calibri"/>
          <w:color w:val="000000"/>
        </w:rPr>
        <w:t xml:space="preserve">(6) $23,000,000 is for sexual assault </w:t>
      </w:r>
      <w:proofErr w:type="gramStart"/>
      <w:r w:rsidRPr="00D76986">
        <w:rPr>
          <w:rFonts w:ascii="Calibri" w:hAnsi="Calibri"/>
          <w:color w:val="000000"/>
        </w:rPr>
        <w:t>victims</w:t>
      </w:r>
      <w:proofErr w:type="gramEnd"/>
      <w:r w:rsidRPr="00D76986">
        <w:rPr>
          <w:rFonts w:ascii="Calibri" w:hAnsi="Calibri"/>
          <w:color w:val="000000"/>
        </w:rPr>
        <w:t xml:space="preserve"> assistance, as authorized by section 41601 of the 1994 Act;</w:t>
      </w:r>
    </w:p>
    <w:p w:rsidR="00DA5382" w:rsidRPr="00E220A3" w:rsidRDefault="00D76986" w:rsidP="00DA5382">
      <w:pPr>
        <w:rPr>
          <w:rFonts w:ascii="Calibri" w:hAnsi="Calibri"/>
          <w:color w:val="000000"/>
        </w:rPr>
      </w:pPr>
      <w:r w:rsidRPr="00D76986">
        <w:rPr>
          <w:rFonts w:ascii="Calibri" w:hAnsi="Calibri"/>
          <w:color w:val="000000"/>
        </w:rPr>
        <w:t>(7) [$34,000,000</w:t>
      </w:r>
      <w:proofErr w:type="gramStart"/>
      <w:r w:rsidRPr="00D76986">
        <w:rPr>
          <w:rFonts w:ascii="Calibri" w:hAnsi="Calibri"/>
          <w:color w:val="000000"/>
        </w:rPr>
        <w:t>]</w:t>
      </w:r>
      <w:r w:rsidRPr="00D76986">
        <w:rPr>
          <w:rFonts w:ascii="Calibri" w:hAnsi="Calibri"/>
          <w:i/>
          <w:color w:val="000000"/>
          <w:u w:val="single"/>
        </w:rPr>
        <w:t>$</w:t>
      </w:r>
      <w:proofErr w:type="gramEnd"/>
      <w:r w:rsidRPr="00D76986">
        <w:rPr>
          <w:rFonts w:ascii="Calibri" w:hAnsi="Calibri"/>
          <w:i/>
          <w:color w:val="000000"/>
          <w:u w:val="single"/>
        </w:rPr>
        <w:t xml:space="preserve">37,500,000 </w:t>
      </w:r>
      <w:r w:rsidRPr="00D76986">
        <w:rPr>
          <w:rFonts w:ascii="Calibri" w:hAnsi="Calibri"/>
          <w:color w:val="000000"/>
        </w:rPr>
        <w:t>is for rural domestic violence and child abuse enforcement assistance grants, as authorized by section 40295 of the 1994 Act;</w:t>
      </w:r>
    </w:p>
    <w:p w:rsidR="00DA5382" w:rsidRPr="00E220A3" w:rsidRDefault="00D76986" w:rsidP="00DA5382">
      <w:pPr>
        <w:rPr>
          <w:rFonts w:ascii="Calibri" w:hAnsi="Calibri"/>
          <w:color w:val="000000"/>
        </w:rPr>
      </w:pPr>
      <w:r w:rsidRPr="00D76986">
        <w:rPr>
          <w:rFonts w:ascii="Calibri" w:hAnsi="Calibri"/>
          <w:color w:val="000000"/>
        </w:rPr>
        <w:t>(8) $9,000,000 is for grants to reduce violent crimes against women on campus, as authorized by section 304 of the 2005 Act;</w:t>
      </w:r>
    </w:p>
    <w:p w:rsidR="00DA5382" w:rsidRPr="00E220A3" w:rsidRDefault="00D76986" w:rsidP="00DA5382">
      <w:pPr>
        <w:rPr>
          <w:rFonts w:ascii="Calibri" w:hAnsi="Calibri"/>
          <w:color w:val="000000"/>
        </w:rPr>
      </w:pPr>
      <w:r w:rsidRPr="00D76986">
        <w:rPr>
          <w:rFonts w:ascii="Calibri" w:hAnsi="Calibri"/>
          <w:color w:val="000000"/>
        </w:rPr>
        <w:t>(9) $41,000,000 is for legal assistance for victims, as authorized by section 1201 of the 2000 Act;</w:t>
      </w:r>
    </w:p>
    <w:p w:rsidR="00DA5382" w:rsidRPr="00E220A3" w:rsidRDefault="00D76986" w:rsidP="00DA5382">
      <w:pPr>
        <w:rPr>
          <w:rFonts w:ascii="Calibri" w:hAnsi="Calibri"/>
          <w:color w:val="000000"/>
        </w:rPr>
      </w:pPr>
      <w:r w:rsidRPr="00D76986">
        <w:rPr>
          <w:rFonts w:ascii="Calibri" w:hAnsi="Calibri"/>
          <w:color w:val="000000"/>
        </w:rPr>
        <w:t>(10) $4,250,000 is for enhanced training and services to end violence against and abuse of women in later life, as authorized by section 40802 of the 1994 Act;</w:t>
      </w:r>
    </w:p>
    <w:p w:rsidR="00DA5382" w:rsidRPr="00E220A3" w:rsidRDefault="00D76986" w:rsidP="00DA5382">
      <w:pPr>
        <w:rPr>
          <w:rFonts w:ascii="Calibri" w:hAnsi="Calibri"/>
          <w:color w:val="000000"/>
        </w:rPr>
      </w:pPr>
      <w:r w:rsidRPr="00D76986">
        <w:rPr>
          <w:rFonts w:ascii="Calibri" w:hAnsi="Calibri"/>
          <w:color w:val="000000"/>
        </w:rPr>
        <w:t>(11) $11,500,000 is for the safe havens for children program, as authorized by section 1301 of the 2000 Act;</w:t>
      </w:r>
    </w:p>
    <w:p w:rsidR="00DA5382" w:rsidRPr="00E220A3" w:rsidRDefault="00D76986" w:rsidP="00DA5382">
      <w:pPr>
        <w:rPr>
          <w:rFonts w:ascii="Calibri" w:hAnsi="Calibri"/>
          <w:color w:val="000000"/>
        </w:rPr>
      </w:pPr>
      <w:r w:rsidRPr="00D76986">
        <w:rPr>
          <w:rFonts w:ascii="Calibri" w:hAnsi="Calibri"/>
          <w:color w:val="000000"/>
        </w:rPr>
        <w:t>(12) $5,750,000 is for education and training to end violence against and abuse of women with disabilities, as authorized by section 1402 of the 2000 Act;</w:t>
      </w:r>
    </w:p>
    <w:p w:rsidR="00DA5382" w:rsidRPr="00E220A3" w:rsidRDefault="00D76986" w:rsidP="00DA5382">
      <w:pPr>
        <w:rPr>
          <w:rFonts w:ascii="Calibri" w:hAnsi="Calibri"/>
          <w:color w:val="000000"/>
        </w:rPr>
      </w:pPr>
      <w:r w:rsidRPr="00D76986">
        <w:rPr>
          <w:rFonts w:ascii="Calibri" w:hAnsi="Calibri"/>
          <w:color w:val="000000"/>
        </w:rPr>
        <w:t>(13) $4,500,000 is for the court training and improvements program, as authorized by section 41002 of the 1994 Act;</w:t>
      </w:r>
    </w:p>
    <w:p w:rsidR="00DA5382" w:rsidRPr="00DA5382" w:rsidRDefault="00D76986" w:rsidP="00DA5382">
      <w:pPr>
        <w:rPr>
          <w:rFonts w:ascii="Calibri" w:hAnsi="Calibri"/>
          <w:i/>
          <w:color w:val="000000"/>
        </w:rPr>
      </w:pPr>
      <w:r w:rsidRPr="00D76986">
        <w:rPr>
          <w:rFonts w:ascii="Calibri" w:hAnsi="Calibri"/>
          <w:color w:val="000000"/>
        </w:rPr>
        <w:t>(14) [$1,000,000]</w:t>
      </w:r>
      <w:r w:rsidRPr="00D76986">
        <w:rPr>
          <w:rFonts w:ascii="Calibri" w:hAnsi="Calibri"/>
          <w:i/>
          <w:color w:val="000000"/>
          <w:u w:val="single"/>
        </w:rPr>
        <w:t xml:space="preserve">$500,000 </w:t>
      </w:r>
      <w:r w:rsidRPr="00D76986">
        <w:rPr>
          <w:rFonts w:ascii="Calibri" w:hAnsi="Calibri"/>
          <w:color w:val="000000"/>
        </w:rPr>
        <w:t>is for the National Resource Center on Workplace Responses to assist victims of domestic violence, as authorized by section 41501 of the 1994 Act;</w:t>
      </w:r>
    </w:p>
    <w:p w:rsidR="00DA5382" w:rsidRPr="005B3E0F" w:rsidRDefault="00D76986" w:rsidP="00DA5382">
      <w:pPr>
        <w:rPr>
          <w:rFonts w:ascii="Calibri" w:hAnsi="Calibri"/>
          <w:bCs/>
          <w:i/>
          <w:color w:val="000000"/>
        </w:rPr>
      </w:pPr>
      <w:r w:rsidRPr="00D76986">
        <w:rPr>
          <w:rFonts w:ascii="Calibri" w:hAnsi="Calibri"/>
          <w:bCs/>
          <w:color w:val="000000"/>
        </w:rPr>
        <w:t>(15) $1,000,000is for analysis and research on violence against Indian women, including as authorized by section 904 of the 2005 Act</w:t>
      </w:r>
      <w:r w:rsidRPr="00D76986">
        <w:rPr>
          <w:rFonts w:ascii="Calibri" w:hAnsi="Calibri"/>
          <w:bCs/>
          <w:i/>
          <w:color w:val="000000"/>
          <w:u w:val="single"/>
        </w:rPr>
        <w:t>:  Provided, that such funds may be transferred to “Research, Evaluation, and Statistics” for administration by the Office of Justice Programs</w:t>
      </w:r>
      <w:r w:rsidR="00DA5382" w:rsidRPr="005B3E0F">
        <w:rPr>
          <w:rFonts w:ascii="Calibri" w:hAnsi="Calibri"/>
          <w:bCs/>
          <w:i/>
          <w:color w:val="000000"/>
        </w:rPr>
        <w:t>; and</w:t>
      </w:r>
    </w:p>
    <w:p w:rsidR="00DA5382" w:rsidRPr="00E220A3" w:rsidRDefault="00D76986" w:rsidP="00DA5382">
      <w:pPr>
        <w:rPr>
          <w:rFonts w:ascii="Calibri" w:hAnsi="Calibri"/>
          <w:color w:val="000000"/>
        </w:rPr>
      </w:pPr>
      <w:r w:rsidRPr="00D76986">
        <w:rPr>
          <w:rFonts w:ascii="Calibri" w:hAnsi="Calibri"/>
          <w:color w:val="000000"/>
        </w:rPr>
        <w:lastRenderedPageBreak/>
        <w:t xml:space="preserve">(16) $500,000 is for the Office on Violence </w:t>
      </w:r>
      <w:proofErr w:type="gramStart"/>
      <w:r w:rsidRPr="00D76986">
        <w:rPr>
          <w:rFonts w:ascii="Calibri" w:hAnsi="Calibri"/>
          <w:color w:val="000000"/>
        </w:rPr>
        <w:t>Against</w:t>
      </w:r>
      <w:proofErr w:type="gramEnd"/>
      <w:r w:rsidRPr="00D76986">
        <w:rPr>
          <w:rFonts w:ascii="Calibri" w:hAnsi="Calibri"/>
          <w:color w:val="000000"/>
        </w:rPr>
        <w:t xml:space="preserve"> Women to establish a national clearinghouse that provides training and technical assistance on issues relating to sexual assault of American Indian and Alaska Native women. </w:t>
      </w:r>
    </w:p>
    <w:p w:rsidR="00DA5382" w:rsidRPr="00DA5382" w:rsidRDefault="00DA5382" w:rsidP="00DA5382">
      <w:pPr>
        <w:rPr>
          <w:rFonts w:ascii="Calibri" w:hAnsi="Calibri"/>
          <w:i/>
          <w:color w:val="000000"/>
        </w:rPr>
      </w:pPr>
    </w:p>
    <w:p w:rsidR="00DA5382" w:rsidRPr="00DA5382" w:rsidRDefault="00DA5382" w:rsidP="00DA5382">
      <w:pPr>
        <w:rPr>
          <w:rFonts w:ascii="Calibri" w:hAnsi="Calibri"/>
          <w:i/>
          <w:color w:val="000000"/>
        </w:rPr>
      </w:pPr>
    </w:p>
    <w:p w:rsidR="00DA5382" w:rsidRPr="00DA5382" w:rsidRDefault="00DA5382" w:rsidP="00DA5382">
      <w:pPr>
        <w:rPr>
          <w:rFonts w:ascii="Calibri" w:hAnsi="Calibri"/>
          <w:i/>
          <w:color w:val="000000"/>
        </w:rPr>
      </w:pPr>
    </w:p>
    <w:p w:rsidR="00DA5382" w:rsidRPr="00E220A3" w:rsidRDefault="00D76986" w:rsidP="00DA5382">
      <w:pPr>
        <w:jc w:val="center"/>
        <w:rPr>
          <w:rFonts w:ascii="Calibri" w:hAnsi="Calibri"/>
          <w:color w:val="000000"/>
        </w:rPr>
      </w:pPr>
      <w:r w:rsidRPr="00D76986">
        <w:rPr>
          <w:rFonts w:ascii="Calibri" w:hAnsi="Calibri"/>
          <w:color w:val="000000"/>
        </w:rPr>
        <w:t>(Cancellation)</w:t>
      </w:r>
    </w:p>
    <w:p w:rsidR="00DA5382" w:rsidRPr="00E220A3" w:rsidRDefault="00DA5382" w:rsidP="00DA5382">
      <w:pPr>
        <w:rPr>
          <w:rFonts w:ascii="Calibri" w:hAnsi="Calibri"/>
          <w:color w:val="000000"/>
        </w:rPr>
      </w:pPr>
    </w:p>
    <w:p w:rsidR="00DA5382" w:rsidRPr="00E220A3" w:rsidRDefault="00D76986" w:rsidP="00DA5382">
      <w:pPr>
        <w:rPr>
          <w:rFonts w:ascii="Calibri" w:hAnsi="Calibri"/>
          <w:color w:val="000000"/>
        </w:rPr>
      </w:pPr>
      <w:r w:rsidRPr="00D76986">
        <w:rPr>
          <w:rFonts w:ascii="Calibri" w:hAnsi="Calibri"/>
          <w:color w:val="000000"/>
        </w:rPr>
        <w:t>Of the unobligated balances from prior year appropriations available under this heading, $6,000,000 are hereby permanently cancelled: Provided, That no amounts may be cancelled from amounts that were designated by the Congress as an emergency requirement pursuant to the Concurrent Resolution on the Budget or the Balanced Budget and Emergency Deficit Control Act of 1985, as amended</w:t>
      </w:r>
      <w:proofErr w:type="gramStart"/>
      <w:r w:rsidRPr="00D76986">
        <w:rPr>
          <w:rFonts w:ascii="Calibri" w:hAnsi="Calibri"/>
          <w:color w:val="000000"/>
        </w:rPr>
        <w:t>.(</w:t>
      </w:r>
      <w:proofErr w:type="gramEnd"/>
      <w:r w:rsidRPr="00D76986">
        <w:rPr>
          <w:rFonts w:ascii="Calibri" w:hAnsi="Calibri"/>
          <w:color w:val="000000"/>
        </w:rPr>
        <w:t>Department of Justice Appropriations Act, 2012.)</w:t>
      </w:r>
    </w:p>
    <w:p w:rsidR="00DA5382" w:rsidRDefault="00DA5382" w:rsidP="0093539F">
      <w:pPr>
        <w:autoSpaceDE w:val="0"/>
        <w:autoSpaceDN w:val="0"/>
        <w:adjustRightInd w:val="0"/>
        <w:rPr>
          <w:i/>
          <w:iCs/>
        </w:rPr>
      </w:pPr>
    </w:p>
    <w:p w:rsidR="0093539F" w:rsidRDefault="0093539F" w:rsidP="0093539F">
      <w:pPr>
        <w:rPr>
          <w:b/>
          <w:u w:val="single"/>
        </w:rPr>
      </w:pPr>
      <w:r>
        <w:rPr>
          <w:b/>
          <w:u w:val="single"/>
        </w:rPr>
        <w:t>Analysis of Appropriations Language</w:t>
      </w:r>
    </w:p>
    <w:p w:rsidR="00EF3C83" w:rsidRDefault="00EF3C83" w:rsidP="0093539F">
      <w:pPr>
        <w:rPr>
          <w:b/>
          <w:u w:val="single"/>
        </w:rPr>
      </w:pPr>
    </w:p>
    <w:p w:rsidR="00EF3C83" w:rsidRPr="00CE611B" w:rsidRDefault="00EF3C83" w:rsidP="00EF3C83">
      <w:pPr>
        <w:pStyle w:val="NormalWeb"/>
        <w:spacing w:before="0" w:beforeAutospacing="0" w:after="0" w:afterAutospacing="0" w:line="240" w:lineRule="auto"/>
        <w:jc w:val="left"/>
        <w:rPr>
          <w:u w:val="single"/>
        </w:rPr>
      </w:pPr>
      <w:r>
        <w:rPr>
          <w:b/>
          <w:bCs/>
        </w:rPr>
        <w:t>Note: </w:t>
      </w:r>
      <w:r>
        <w:t xml:space="preserve"> The FY 2013 budget request uses the FY 2012 Appropriations Language as the starting </w:t>
      </w:r>
      <w:r w:rsidRPr="00CE611B">
        <w:t>point.</w:t>
      </w:r>
    </w:p>
    <w:p w:rsidR="00EF3C83" w:rsidRDefault="00EF3C83" w:rsidP="0093539F">
      <w:pPr>
        <w:rPr>
          <w:b/>
          <w:u w:val="single"/>
        </w:rPr>
      </w:pPr>
    </w:p>
    <w:p w:rsidR="00701DDE" w:rsidRDefault="00B15692" w:rsidP="00701DDE">
      <w:pPr>
        <w:numPr>
          <w:ilvl w:val="0"/>
          <w:numId w:val="27"/>
        </w:numPr>
        <w:tabs>
          <w:tab w:val="clear" w:pos="720"/>
          <w:tab w:val="num" w:pos="360"/>
          <w:tab w:val="num" w:pos="1170"/>
        </w:tabs>
        <w:ind w:left="360"/>
      </w:pPr>
      <w:r>
        <w:t xml:space="preserve">Added language to </w:t>
      </w:r>
      <w:r w:rsidR="00D26D69">
        <w:t>mandate</w:t>
      </w:r>
      <w:r>
        <w:t xml:space="preserve"> the transfer of NIJ research and evaluation funding to OJP.</w:t>
      </w:r>
    </w:p>
    <w:p w:rsidR="005841F2" w:rsidRDefault="00701DDE" w:rsidP="00701DDE">
      <w:pPr>
        <w:numPr>
          <w:ilvl w:val="0"/>
          <w:numId w:val="27"/>
        </w:numPr>
        <w:tabs>
          <w:tab w:val="clear" w:pos="720"/>
          <w:tab w:val="num" w:pos="360"/>
          <w:tab w:val="num" w:pos="1170"/>
        </w:tabs>
        <w:ind w:left="360"/>
      </w:pPr>
      <w:r w:rsidRPr="00701DDE">
        <w:t>Add</w:t>
      </w:r>
      <w:r>
        <w:t>ed</w:t>
      </w:r>
      <w:r w:rsidRPr="00701DDE">
        <w:t xml:space="preserve"> language to ensure that VAWA grant conditions and definitions apply to </w:t>
      </w:r>
      <w:r>
        <w:t xml:space="preserve">the </w:t>
      </w:r>
      <w:r w:rsidRPr="00701DDE">
        <w:t>consolidated youth and prevention program authorized by this appropriations act</w:t>
      </w:r>
      <w:r>
        <w:t>.</w:t>
      </w:r>
    </w:p>
    <w:p w:rsidR="00D26D69" w:rsidRDefault="00D26D69" w:rsidP="00701DDE">
      <w:pPr>
        <w:numPr>
          <w:ilvl w:val="0"/>
          <w:numId w:val="27"/>
        </w:numPr>
        <w:tabs>
          <w:tab w:val="clear" w:pos="720"/>
          <w:tab w:val="num" w:pos="360"/>
          <w:tab w:val="num" w:pos="1170"/>
        </w:tabs>
        <w:ind w:left="360"/>
        <w:rPr>
          <w:iCs/>
        </w:rPr>
      </w:pPr>
      <w:r>
        <w:t>Added transfer language to allow the transfer of all or a portion of Indian women research and evaluation funding to OJP.</w:t>
      </w:r>
      <w:r w:rsidR="00701DDE">
        <w:rPr>
          <w:iCs/>
        </w:rPr>
        <w:t xml:space="preserve"> </w:t>
      </w:r>
    </w:p>
    <w:p w:rsidR="0093539F" w:rsidRPr="00B2587D" w:rsidRDefault="0093539F" w:rsidP="00E5393A">
      <w:pPr>
        <w:rPr>
          <w:iCs/>
        </w:rPr>
      </w:pPr>
    </w:p>
    <w:p w:rsidR="00612F80" w:rsidRPr="00D172B9" w:rsidRDefault="00B77350" w:rsidP="00AA79B9">
      <w:pPr>
        <w:pStyle w:val="BodyText"/>
        <w:ind w:right="-1260"/>
        <w:rPr>
          <w:rFonts w:cs="Arial"/>
          <w:b/>
          <w:bCs/>
          <w:sz w:val="28"/>
          <w:szCs w:val="28"/>
        </w:rPr>
      </w:pPr>
      <w:r>
        <w:rPr>
          <w:rFonts w:cs="Arial"/>
          <w:b/>
          <w:bCs/>
          <w:sz w:val="28"/>
          <w:szCs w:val="28"/>
        </w:rPr>
        <w:t>I</w:t>
      </w:r>
      <w:r w:rsidR="00857492">
        <w:rPr>
          <w:rFonts w:cs="Arial"/>
          <w:b/>
          <w:bCs/>
          <w:sz w:val="28"/>
          <w:szCs w:val="28"/>
        </w:rPr>
        <w:t>I</w:t>
      </w:r>
      <w:r>
        <w:rPr>
          <w:rFonts w:cs="Arial"/>
          <w:b/>
          <w:bCs/>
          <w:sz w:val="28"/>
          <w:szCs w:val="28"/>
        </w:rPr>
        <w:t>I</w:t>
      </w:r>
      <w:r w:rsidR="00EB3FEA">
        <w:rPr>
          <w:rFonts w:cs="Arial"/>
          <w:b/>
          <w:bCs/>
          <w:sz w:val="28"/>
          <w:szCs w:val="28"/>
        </w:rPr>
        <w:t>.</w:t>
      </w:r>
      <w:r w:rsidR="00612F80" w:rsidRPr="00D172B9">
        <w:rPr>
          <w:rFonts w:cs="Arial"/>
          <w:b/>
          <w:bCs/>
          <w:sz w:val="28"/>
          <w:szCs w:val="28"/>
        </w:rPr>
        <w:t xml:space="preserve"> Decision Unit </w:t>
      </w:r>
      <w:r w:rsidR="009471FA">
        <w:rPr>
          <w:rFonts w:cs="Arial"/>
          <w:b/>
          <w:bCs/>
          <w:sz w:val="28"/>
          <w:szCs w:val="28"/>
        </w:rPr>
        <w:t>Performance Information</w:t>
      </w:r>
    </w:p>
    <w:p w:rsidR="00612F80" w:rsidRDefault="00612F80" w:rsidP="00AA79B9">
      <w:pPr>
        <w:pStyle w:val="BodyText"/>
        <w:ind w:right="-1260"/>
        <w:rPr>
          <w:rFonts w:cs="Arial"/>
          <w:b/>
          <w:bCs/>
        </w:rPr>
      </w:pPr>
    </w:p>
    <w:p w:rsidR="004E52EB" w:rsidRDefault="004E52EB" w:rsidP="004E52EB">
      <w:pPr>
        <w:pStyle w:val="BodyText"/>
        <w:ind w:right="-1080"/>
        <w:rPr>
          <w:rFonts w:cs="Arial"/>
          <w:b/>
          <w:bCs/>
        </w:rPr>
      </w:pPr>
      <w:r>
        <w:rPr>
          <w:rFonts w:cs="Arial"/>
          <w:b/>
          <w:bCs/>
        </w:rPr>
        <w:t xml:space="preserve">A. </w:t>
      </w:r>
      <w:r w:rsidRPr="00F92007">
        <w:rPr>
          <w:b/>
          <w:iCs/>
        </w:rPr>
        <w:t>Prevention and Prosecution of Violence Against Women and Related Victim Services Program</w:t>
      </w:r>
      <w:r>
        <w:rPr>
          <w:b/>
          <w:iCs/>
        </w:rPr>
        <w:t xml:space="preserve"> (Referred to as Office on Violence Against Women (OVW</w:t>
      </w:r>
      <w:r w:rsidR="001A2290">
        <w:rPr>
          <w:b/>
          <w:iCs/>
        </w:rPr>
        <w:t>)</w:t>
      </w:r>
      <w:r>
        <w:rPr>
          <w:b/>
          <w:iCs/>
        </w:rPr>
        <w:t xml:space="preserve">) </w:t>
      </w:r>
      <w:r>
        <w:rPr>
          <w:rFonts w:cs="Arial"/>
          <w:b/>
          <w:bCs/>
          <w:i/>
          <w:iCs/>
        </w:rPr>
        <w:tab/>
      </w:r>
      <w:r>
        <w:rPr>
          <w:rFonts w:cs="Arial"/>
          <w:b/>
          <w:bCs/>
        </w:rPr>
        <w:tab/>
      </w:r>
      <w:r>
        <w:rPr>
          <w:rFonts w:cs="Arial"/>
          <w:b/>
          <w:bCs/>
        </w:rPr>
        <w:tab/>
      </w:r>
    </w:p>
    <w:p w:rsidR="004E52EB" w:rsidRDefault="004E52EB" w:rsidP="004E52EB">
      <w:pPr>
        <w:pStyle w:val="Title"/>
        <w:ind w:right="-1080"/>
        <w:rPr>
          <w:b w:val="0"/>
          <w:bC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72"/>
        <w:gridCol w:w="1001"/>
        <w:gridCol w:w="1187"/>
        <w:gridCol w:w="2616"/>
      </w:tblGrid>
      <w:tr w:rsidR="004E52EB" w:rsidRPr="009273C7" w:rsidTr="00E47C4B">
        <w:tc>
          <w:tcPr>
            <w:tcW w:w="4772" w:type="dxa"/>
          </w:tcPr>
          <w:p w:rsidR="004E52EB" w:rsidRDefault="004E52EB" w:rsidP="00166E51">
            <w:pPr>
              <w:pStyle w:val="Title"/>
              <w:ind w:left="0"/>
              <w:jc w:val="left"/>
              <w:rPr>
                <w:iCs/>
              </w:rPr>
            </w:pPr>
            <w:r>
              <w:rPr>
                <w:i w:val="0"/>
                <w:iCs/>
              </w:rPr>
              <w:t>Office on Violence Against Women -</w:t>
            </w:r>
            <w:r>
              <w:rPr>
                <w:iCs/>
              </w:rPr>
              <w:t xml:space="preserve"> Grants</w:t>
            </w:r>
          </w:p>
          <w:p w:rsidR="004E52EB" w:rsidRPr="009273C7" w:rsidRDefault="004E52EB" w:rsidP="00166E51">
            <w:pPr>
              <w:pStyle w:val="Title"/>
              <w:ind w:left="0"/>
              <w:jc w:val="left"/>
              <w:rPr>
                <w:iCs/>
                <w:szCs w:val="24"/>
              </w:rPr>
            </w:pPr>
            <w:r>
              <w:rPr>
                <w:i w:val="0"/>
              </w:rPr>
              <w:t>OVW Appropriation</w:t>
            </w:r>
          </w:p>
        </w:tc>
        <w:tc>
          <w:tcPr>
            <w:tcW w:w="1001" w:type="dxa"/>
          </w:tcPr>
          <w:p w:rsidR="004E52EB" w:rsidRPr="009273C7" w:rsidRDefault="004E52EB" w:rsidP="00166E51">
            <w:pPr>
              <w:pStyle w:val="Title"/>
              <w:ind w:left="0"/>
              <w:rPr>
                <w:i w:val="0"/>
                <w:szCs w:val="24"/>
              </w:rPr>
            </w:pPr>
            <w:r w:rsidRPr="009273C7">
              <w:rPr>
                <w:i w:val="0"/>
                <w:szCs w:val="24"/>
              </w:rPr>
              <w:t>Perm. Pos.</w:t>
            </w:r>
          </w:p>
        </w:tc>
        <w:tc>
          <w:tcPr>
            <w:tcW w:w="1187" w:type="dxa"/>
          </w:tcPr>
          <w:p w:rsidR="004E52EB" w:rsidRPr="009273C7" w:rsidRDefault="004E52EB" w:rsidP="00166E51">
            <w:pPr>
              <w:pStyle w:val="Title"/>
              <w:ind w:left="0"/>
              <w:rPr>
                <w:i w:val="0"/>
                <w:szCs w:val="24"/>
              </w:rPr>
            </w:pPr>
            <w:r w:rsidRPr="009273C7">
              <w:rPr>
                <w:i w:val="0"/>
                <w:szCs w:val="24"/>
              </w:rPr>
              <w:t>FTE</w:t>
            </w:r>
          </w:p>
        </w:tc>
        <w:tc>
          <w:tcPr>
            <w:tcW w:w="2616" w:type="dxa"/>
          </w:tcPr>
          <w:p w:rsidR="004E52EB" w:rsidRPr="009273C7" w:rsidRDefault="004E52EB" w:rsidP="00166E51">
            <w:pPr>
              <w:pStyle w:val="Title"/>
              <w:ind w:left="0"/>
              <w:rPr>
                <w:i w:val="0"/>
                <w:szCs w:val="24"/>
              </w:rPr>
            </w:pPr>
            <w:r w:rsidRPr="009273C7">
              <w:rPr>
                <w:i w:val="0"/>
                <w:szCs w:val="24"/>
              </w:rPr>
              <w:t>Amount</w:t>
            </w:r>
          </w:p>
        </w:tc>
      </w:tr>
      <w:tr w:rsidR="004E52EB" w:rsidRPr="009273C7" w:rsidTr="00E47C4B">
        <w:tc>
          <w:tcPr>
            <w:tcW w:w="4772" w:type="dxa"/>
          </w:tcPr>
          <w:p w:rsidR="004E52EB" w:rsidRPr="009273C7" w:rsidRDefault="004E52EB" w:rsidP="00461843">
            <w:pPr>
              <w:pStyle w:val="Title"/>
              <w:ind w:left="0"/>
              <w:jc w:val="left"/>
              <w:rPr>
                <w:b w:val="0"/>
                <w:bCs/>
                <w:i w:val="0"/>
                <w:szCs w:val="24"/>
              </w:rPr>
            </w:pPr>
            <w:r w:rsidRPr="009273C7">
              <w:rPr>
                <w:b w:val="0"/>
                <w:bCs/>
                <w:i w:val="0"/>
                <w:szCs w:val="24"/>
              </w:rPr>
              <w:t>201</w:t>
            </w:r>
            <w:r w:rsidR="00461843">
              <w:rPr>
                <w:b w:val="0"/>
                <w:bCs/>
                <w:i w:val="0"/>
                <w:szCs w:val="24"/>
              </w:rPr>
              <w:t>1</w:t>
            </w:r>
            <w:r w:rsidRPr="009273C7">
              <w:rPr>
                <w:b w:val="0"/>
                <w:bCs/>
                <w:i w:val="0"/>
                <w:szCs w:val="24"/>
              </w:rPr>
              <w:t xml:space="preserve"> Enacted with Rescissions</w:t>
            </w:r>
          </w:p>
        </w:tc>
        <w:tc>
          <w:tcPr>
            <w:tcW w:w="1001"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1187"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2616" w:type="dxa"/>
            <w:vAlign w:val="center"/>
          </w:tcPr>
          <w:p w:rsidR="004E52EB" w:rsidRPr="000223D3" w:rsidRDefault="004E52EB" w:rsidP="00461843">
            <w:pPr>
              <w:pStyle w:val="Title"/>
              <w:ind w:left="0"/>
              <w:jc w:val="right"/>
              <w:rPr>
                <w:b w:val="0"/>
                <w:bCs/>
                <w:i w:val="0"/>
                <w:szCs w:val="24"/>
              </w:rPr>
            </w:pPr>
            <w:r>
              <w:rPr>
                <w:b w:val="0"/>
                <w:bCs/>
                <w:i w:val="0"/>
                <w:szCs w:val="24"/>
              </w:rPr>
              <w:t>41</w:t>
            </w:r>
            <w:r w:rsidR="00461843">
              <w:rPr>
                <w:b w:val="0"/>
                <w:bCs/>
                <w:i w:val="0"/>
                <w:szCs w:val="24"/>
              </w:rPr>
              <w:t>7</w:t>
            </w:r>
            <w:r>
              <w:rPr>
                <w:b w:val="0"/>
                <w:bCs/>
                <w:i w:val="0"/>
                <w:szCs w:val="24"/>
              </w:rPr>
              <w:t>,</w:t>
            </w:r>
            <w:r w:rsidR="00461843">
              <w:rPr>
                <w:b w:val="0"/>
                <w:bCs/>
                <w:i w:val="0"/>
                <w:szCs w:val="24"/>
              </w:rPr>
              <w:t>663</w:t>
            </w:r>
            <w:r w:rsidRPr="000223D3">
              <w:rPr>
                <w:b w:val="0"/>
                <w:bCs/>
                <w:i w:val="0"/>
                <w:szCs w:val="24"/>
              </w:rPr>
              <w:t>,000</w:t>
            </w:r>
          </w:p>
        </w:tc>
      </w:tr>
      <w:tr w:rsidR="004E52EB" w:rsidRPr="009273C7" w:rsidTr="00E47C4B">
        <w:tc>
          <w:tcPr>
            <w:tcW w:w="4772" w:type="dxa"/>
          </w:tcPr>
          <w:p w:rsidR="004E52EB" w:rsidRPr="009273C7" w:rsidRDefault="004E52EB" w:rsidP="00461843">
            <w:pPr>
              <w:pStyle w:val="Title"/>
              <w:ind w:left="0"/>
              <w:jc w:val="left"/>
              <w:rPr>
                <w:b w:val="0"/>
                <w:bCs/>
                <w:i w:val="0"/>
                <w:szCs w:val="24"/>
              </w:rPr>
            </w:pPr>
            <w:bookmarkStart w:id="2" w:name="_Hlk131234810"/>
            <w:r w:rsidRPr="009273C7">
              <w:rPr>
                <w:b w:val="0"/>
                <w:bCs/>
                <w:i w:val="0"/>
                <w:szCs w:val="24"/>
              </w:rPr>
              <w:t xml:space="preserve">   201</w:t>
            </w:r>
            <w:r w:rsidR="00461843">
              <w:rPr>
                <w:b w:val="0"/>
                <w:bCs/>
                <w:i w:val="0"/>
                <w:szCs w:val="24"/>
              </w:rPr>
              <w:t>1</w:t>
            </w:r>
            <w:r w:rsidRPr="009273C7">
              <w:rPr>
                <w:b w:val="0"/>
                <w:bCs/>
                <w:i w:val="0"/>
                <w:szCs w:val="24"/>
              </w:rPr>
              <w:t xml:space="preserve"> </w:t>
            </w:r>
            <w:r>
              <w:rPr>
                <w:b w:val="0"/>
                <w:bCs/>
                <w:i w:val="0"/>
                <w:szCs w:val="24"/>
              </w:rPr>
              <w:t>Supplemental</w:t>
            </w:r>
          </w:p>
        </w:tc>
        <w:tc>
          <w:tcPr>
            <w:tcW w:w="1001"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1187"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2616" w:type="dxa"/>
            <w:vAlign w:val="center"/>
          </w:tcPr>
          <w:p w:rsidR="004E52EB" w:rsidRPr="000223D3" w:rsidRDefault="004E52EB" w:rsidP="00166E51">
            <w:pPr>
              <w:pStyle w:val="Title"/>
              <w:ind w:left="0"/>
              <w:jc w:val="right"/>
              <w:rPr>
                <w:b w:val="0"/>
                <w:bCs/>
                <w:i w:val="0"/>
                <w:szCs w:val="24"/>
              </w:rPr>
            </w:pPr>
            <w:r>
              <w:rPr>
                <w:b w:val="0"/>
                <w:bCs/>
                <w:i w:val="0"/>
                <w:szCs w:val="24"/>
              </w:rPr>
              <w:t>0</w:t>
            </w:r>
          </w:p>
        </w:tc>
      </w:tr>
      <w:tr w:rsidR="00E6518A" w:rsidRPr="009273C7" w:rsidTr="00E47C4B">
        <w:tc>
          <w:tcPr>
            <w:tcW w:w="4772" w:type="dxa"/>
          </w:tcPr>
          <w:p w:rsidR="00E6518A" w:rsidDel="005841F2" w:rsidRDefault="00E6518A" w:rsidP="005841F2">
            <w:pPr>
              <w:pStyle w:val="Title"/>
              <w:ind w:left="0"/>
              <w:jc w:val="left"/>
              <w:rPr>
                <w:b w:val="0"/>
                <w:bCs/>
                <w:i w:val="0"/>
                <w:szCs w:val="24"/>
              </w:rPr>
            </w:pPr>
            <w:r>
              <w:rPr>
                <w:b w:val="0"/>
                <w:bCs/>
                <w:i w:val="0"/>
                <w:szCs w:val="24"/>
              </w:rPr>
              <w:t>2012 Enacted</w:t>
            </w:r>
          </w:p>
        </w:tc>
        <w:tc>
          <w:tcPr>
            <w:tcW w:w="1001" w:type="dxa"/>
            <w:vAlign w:val="center"/>
          </w:tcPr>
          <w:p w:rsidR="00E6518A" w:rsidRPr="009273C7" w:rsidRDefault="00E6518A" w:rsidP="00166E51">
            <w:pPr>
              <w:pStyle w:val="Title"/>
              <w:ind w:left="0"/>
              <w:jc w:val="right"/>
              <w:rPr>
                <w:b w:val="0"/>
                <w:bCs/>
                <w:i w:val="0"/>
                <w:szCs w:val="24"/>
              </w:rPr>
            </w:pPr>
          </w:p>
        </w:tc>
        <w:tc>
          <w:tcPr>
            <w:tcW w:w="1187" w:type="dxa"/>
            <w:vAlign w:val="center"/>
          </w:tcPr>
          <w:p w:rsidR="00E6518A" w:rsidRPr="009273C7" w:rsidRDefault="00E6518A" w:rsidP="00166E51">
            <w:pPr>
              <w:pStyle w:val="Title"/>
              <w:ind w:left="0"/>
              <w:jc w:val="right"/>
              <w:rPr>
                <w:b w:val="0"/>
                <w:bCs/>
                <w:i w:val="0"/>
                <w:szCs w:val="24"/>
              </w:rPr>
            </w:pPr>
          </w:p>
        </w:tc>
        <w:tc>
          <w:tcPr>
            <w:tcW w:w="2616" w:type="dxa"/>
            <w:vAlign w:val="center"/>
          </w:tcPr>
          <w:p w:rsidR="00E6518A" w:rsidDel="005841F2" w:rsidRDefault="00E6518A" w:rsidP="002835B4">
            <w:pPr>
              <w:pStyle w:val="Title"/>
              <w:ind w:left="0"/>
              <w:jc w:val="right"/>
              <w:rPr>
                <w:b w:val="0"/>
                <w:bCs/>
                <w:i w:val="0"/>
                <w:szCs w:val="24"/>
              </w:rPr>
            </w:pPr>
            <w:r>
              <w:rPr>
                <w:b w:val="0"/>
                <w:bCs/>
                <w:i w:val="0"/>
                <w:szCs w:val="24"/>
              </w:rPr>
              <w:t>412,500,000</w:t>
            </w:r>
          </w:p>
        </w:tc>
      </w:tr>
      <w:tr w:rsidR="004E52EB" w:rsidRPr="009273C7" w:rsidTr="00E47C4B">
        <w:tc>
          <w:tcPr>
            <w:tcW w:w="4772" w:type="dxa"/>
          </w:tcPr>
          <w:p w:rsidR="004E52EB" w:rsidRPr="009273C7" w:rsidRDefault="005841F2" w:rsidP="005841F2">
            <w:pPr>
              <w:pStyle w:val="Title"/>
              <w:ind w:left="0"/>
              <w:jc w:val="left"/>
              <w:rPr>
                <w:b w:val="0"/>
                <w:bCs/>
                <w:i w:val="0"/>
                <w:szCs w:val="24"/>
              </w:rPr>
            </w:pPr>
            <w:r>
              <w:rPr>
                <w:b w:val="0"/>
                <w:bCs/>
                <w:i w:val="0"/>
                <w:szCs w:val="24"/>
              </w:rPr>
              <w:t xml:space="preserve">2012 </w:t>
            </w:r>
            <w:r w:rsidR="004E52EB">
              <w:rPr>
                <w:b w:val="0"/>
                <w:bCs/>
                <w:i w:val="0"/>
                <w:szCs w:val="24"/>
              </w:rPr>
              <w:t>Enacted w/Rescission</w:t>
            </w:r>
            <w:r w:rsidR="00E31195">
              <w:rPr>
                <w:b w:val="0"/>
                <w:bCs/>
                <w:i w:val="0"/>
                <w:szCs w:val="24"/>
              </w:rPr>
              <w:t>s</w:t>
            </w:r>
            <w:r w:rsidR="00113E8C">
              <w:rPr>
                <w:b w:val="0"/>
                <w:bCs/>
                <w:i w:val="0"/>
                <w:szCs w:val="24"/>
              </w:rPr>
              <w:t xml:space="preserve"> </w:t>
            </w:r>
            <w:r w:rsidR="004E52EB">
              <w:rPr>
                <w:b w:val="0"/>
                <w:bCs/>
                <w:i w:val="0"/>
                <w:szCs w:val="24"/>
              </w:rPr>
              <w:t xml:space="preserve">and </w:t>
            </w:r>
            <w:r w:rsidR="004E52EB" w:rsidRPr="009273C7">
              <w:rPr>
                <w:b w:val="0"/>
                <w:bCs/>
                <w:i w:val="0"/>
                <w:szCs w:val="24"/>
              </w:rPr>
              <w:t>Supplemental</w:t>
            </w:r>
            <w:r w:rsidR="00E31195">
              <w:rPr>
                <w:b w:val="0"/>
                <w:bCs/>
                <w:i w:val="0"/>
                <w:szCs w:val="24"/>
              </w:rPr>
              <w:t>s</w:t>
            </w:r>
          </w:p>
        </w:tc>
        <w:tc>
          <w:tcPr>
            <w:tcW w:w="1001"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1187"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2616" w:type="dxa"/>
            <w:vAlign w:val="center"/>
          </w:tcPr>
          <w:p w:rsidR="004E52EB" w:rsidRPr="000223D3" w:rsidRDefault="005841F2" w:rsidP="002835B4">
            <w:pPr>
              <w:pStyle w:val="Title"/>
              <w:ind w:left="0"/>
              <w:jc w:val="right"/>
              <w:rPr>
                <w:b w:val="0"/>
                <w:bCs/>
                <w:i w:val="0"/>
                <w:szCs w:val="24"/>
              </w:rPr>
            </w:pPr>
            <w:r>
              <w:rPr>
                <w:b w:val="0"/>
                <w:bCs/>
                <w:i w:val="0"/>
                <w:szCs w:val="24"/>
              </w:rPr>
              <w:t>397,500,000</w:t>
            </w:r>
          </w:p>
        </w:tc>
      </w:tr>
      <w:tr w:rsidR="004E52EB" w:rsidRPr="009273C7" w:rsidTr="00E47C4B">
        <w:tc>
          <w:tcPr>
            <w:tcW w:w="4772" w:type="dxa"/>
          </w:tcPr>
          <w:p w:rsidR="004E52EB" w:rsidRPr="009273C7" w:rsidRDefault="005841F2" w:rsidP="005841F2">
            <w:pPr>
              <w:pStyle w:val="Title"/>
              <w:ind w:left="0"/>
              <w:jc w:val="left"/>
              <w:rPr>
                <w:b w:val="0"/>
                <w:bCs/>
                <w:i w:val="0"/>
                <w:szCs w:val="24"/>
              </w:rPr>
            </w:pPr>
            <w:r>
              <w:rPr>
                <w:b w:val="0"/>
                <w:bCs/>
                <w:i w:val="0"/>
                <w:szCs w:val="24"/>
              </w:rPr>
              <w:t xml:space="preserve">2013 </w:t>
            </w:r>
            <w:r w:rsidR="00461843">
              <w:rPr>
                <w:b w:val="0"/>
                <w:bCs/>
                <w:i w:val="0"/>
                <w:szCs w:val="24"/>
              </w:rPr>
              <w:t>Current Rate</w:t>
            </w:r>
          </w:p>
        </w:tc>
        <w:tc>
          <w:tcPr>
            <w:tcW w:w="1001"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1187"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2616" w:type="dxa"/>
            <w:vAlign w:val="center"/>
          </w:tcPr>
          <w:p w:rsidR="004E52EB" w:rsidRPr="009273C7" w:rsidRDefault="00B250F4" w:rsidP="00087BDF">
            <w:pPr>
              <w:pStyle w:val="Title"/>
              <w:ind w:left="0"/>
              <w:jc w:val="right"/>
              <w:rPr>
                <w:b w:val="0"/>
                <w:bCs/>
                <w:i w:val="0"/>
                <w:szCs w:val="24"/>
              </w:rPr>
            </w:pPr>
            <w:r>
              <w:rPr>
                <w:b w:val="0"/>
                <w:bCs/>
                <w:i w:val="0"/>
                <w:szCs w:val="24"/>
              </w:rPr>
              <w:t>397,500,000</w:t>
            </w:r>
          </w:p>
        </w:tc>
      </w:tr>
      <w:bookmarkEnd w:id="2"/>
      <w:tr w:rsidR="004E52EB" w:rsidRPr="009273C7" w:rsidTr="00E47C4B">
        <w:tc>
          <w:tcPr>
            <w:tcW w:w="4772" w:type="dxa"/>
          </w:tcPr>
          <w:p w:rsidR="004E52EB" w:rsidRPr="009273C7" w:rsidRDefault="004E52EB" w:rsidP="00166E51">
            <w:pPr>
              <w:pStyle w:val="Title"/>
              <w:ind w:left="0"/>
              <w:jc w:val="left"/>
              <w:rPr>
                <w:b w:val="0"/>
                <w:bCs/>
                <w:i w:val="0"/>
                <w:szCs w:val="24"/>
              </w:rPr>
            </w:pPr>
            <w:r w:rsidRPr="009273C7">
              <w:rPr>
                <w:b w:val="0"/>
                <w:bCs/>
                <w:i w:val="0"/>
                <w:szCs w:val="24"/>
              </w:rPr>
              <w:t>Adjustments to Base and Technical Adjustments</w:t>
            </w:r>
          </w:p>
        </w:tc>
        <w:tc>
          <w:tcPr>
            <w:tcW w:w="1001"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1187"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2616" w:type="dxa"/>
            <w:vAlign w:val="center"/>
          </w:tcPr>
          <w:p w:rsidR="004E52EB" w:rsidRPr="009273C7" w:rsidRDefault="00B250F4" w:rsidP="00166E51">
            <w:pPr>
              <w:pStyle w:val="Title"/>
              <w:ind w:left="0"/>
              <w:jc w:val="right"/>
              <w:rPr>
                <w:b w:val="0"/>
                <w:bCs/>
                <w:i w:val="0"/>
                <w:szCs w:val="24"/>
              </w:rPr>
            </w:pPr>
            <w:r>
              <w:rPr>
                <w:b w:val="0"/>
                <w:bCs/>
                <w:i w:val="0"/>
                <w:szCs w:val="24"/>
              </w:rPr>
              <w:t>15,000,000</w:t>
            </w:r>
          </w:p>
        </w:tc>
      </w:tr>
      <w:tr w:rsidR="004E52EB" w:rsidRPr="009273C7" w:rsidTr="00E47C4B">
        <w:tc>
          <w:tcPr>
            <w:tcW w:w="4772" w:type="dxa"/>
          </w:tcPr>
          <w:p w:rsidR="004E52EB" w:rsidRPr="009273C7" w:rsidRDefault="004E52EB" w:rsidP="00894764">
            <w:pPr>
              <w:pStyle w:val="Title"/>
              <w:ind w:left="0"/>
              <w:jc w:val="left"/>
              <w:rPr>
                <w:b w:val="0"/>
                <w:bCs/>
                <w:i w:val="0"/>
                <w:szCs w:val="24"/>
              </w:rPr>
            </w:pPr>
            <w:r w:rsidRPr="009273C7">
              <w:rPr>
                <w:b w:val="0"/>
                <w:bCs/>
                <w:i w:val="0"/>
                <w:szCs w:val="24"/>
              </w:rPr>
              <w:t>201</w:t>
            </w:r>
            <w:r w:rsidR="00894764">
              <w:rPr>
                <w:b w:val="0"/>
                <w:bCs/>
                <w:i w:val="0"/>
                <w:szCs w:val="24"/>
              </w:rPr>
              <w:t>3</w:t>
            </w:r>
            <w:r w:rsidRPr="009273C7">
              <w:rPr>
                <w:b w:val="0"/>
                <w:bCs/>
                <w:i w:val="0"/>
                <w:szCs w:val="24"/>
              </w:rPr>
              <w:t xml:space="preserve"> Current Services</w:t>
            </w:r>
          </w:p>
        </w:tc>
        <w:tc>
          <w:tcPr>
            <w:tcW w:w="1001"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1187"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2616" w:type="dxa"/>
            <w:vAlign w:val="center"/>
          </w:tcPr>
          <w:p w:rsidR="004E52EB" w:rsidRPr="009273C7" w:rsidRDefault="00B250F4" w:rsidP="00087BDF">
            <w:pPr>
              <w:pStyle w:val="Title"/>
              <w:ind w:left="0"/>
              <w:jc w:val="right"/>
              <w:rPr>
                <w:b w:val="0"/>
                <w:bCs/>
                <w:i w:val="0"/>
                <w:szCs w:val="24"/>
              </w:rPr>
            </w:pPr>
            <w:r>
              <w:rPr>
                <w:b w:val="0"/>
                <w:bCs/>
                <w:i w:val="0"/>
                <w:szCs w:val="24"/>
              </w:rPr>
              <w:t>412,500,000</w:t>
            </w:r>
          </w:p>
        </w:tc>
      </w:tr>
      <w:tr w:rsidR="004E52EB" w:rsidRPr="009273C7" w:rsidTr="00E47C4B">
        <w:tc>
          <w:tcPr>
            <w:tcW w:w="4772" w:type="dxa"/>
          </w:tcPr>
          <w:p w:rsidR="004E52EB" w:rsidRPr="009273C7" w:rsidRDefault="004E52EB" w:rsidP="00894764">
            <w:pPr>
              <w:pStyle w:val="Title"/>
              <w:ind w:left="0"/>
              <w:jc w:val="left"/>
              <w:rPr>
                <w:b w:val="0"/>
                <w:bCs/>
                <w:i w:val="0"/>
                <w:szCs w:val="24"/>
              </w:rPr>
            </w:pPr>
            <w:r w:rsidRPr="009273C7">
              <w:rPr>
                <w:b w:val="0"/>
                <w:bCs/>
                <w:i w:val="0"/>
                <w:szCs w:val="24"/>
              </w:rPr>
              <w:t>201</w:t>
            </w:r>
            <w:r w:rsidR="00894764">
              <w:rPr>
                <w:b w:val="0"/>
                <w:bCs/>
                <w:i w:val="0"/>
                <w:szCs w:val="24"/>
              </w:rPr>
              <w:t>3</w:t>
            </w:r>
            <w:r w:rsidRPr="009273C7">
              <w:rPr>
                <w:b w:val="0"/>
                <w:bCs/>
                <w:i w:val="0"/>
                <w:szCs w:val="24"/>
              </w:rPr>
              <w:t xml:space="preserve"> Program Increases</w:t>
            </w:r>
          </w:p>
        </w:tc>
        <w:tc>
          <w:tcPr>
            <w:tcW w:w="1001"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1187"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2616" w:type="dxa"/>
            <w:vAlign w:val="center"/>
          </w:tcPr>
          <w:p w:rsidR="004E52EB" w:rsidRPr="003414C5" w:rsidRDefault="00B250F4" w:rsidP="00596188">
            <w:pPr>
              <w:pStyle w:val="Title"/>
              <w:ind w:left="0"/>
              <w:jc w:val="right"/>
              <w:rPr>
                <w:b w:val="0"/>
                <w:bCs/>
                <w:i w:val="0"/>
                <w:szCs w:val="24"/>
              </w:rPr>
            </w:pPr>
            <w:r>
              <w:rPr>
                <w:b w:val="0"/>
                <w:bCs/>
                <w:i w:val="0"/>
                <w:szCs w:val="24"/>
              </w:rPr>
              <w:t>3,500,000</w:t>
            </w:r>
          </w:p>
        </w:tc>
      </w:tr>
      <w:tr w:rsidR="004E52EB" w:rsidRPr="009273C7" w:rsidTr="00E47C4B">
        <w:tc>
          <w:tcPr>
            <w:tcW w:w="4772" w:type="dxa"/>
          </w:tcPr>
          <w:p w:rsidR="004E52EB" w:rsidRPr="009273C7" w:rsidRDefault="004E52EB" w:rsidP="00894764">
            <w:pPr>
              <w:pStyle w:val="Title"/>
              <w:ind w:left="0"/>
              <w:jc w:val="left"/>
              <w:rPr>
                <w:b w:val="0"/>
                <w:bCs/>
                <w:i w:val="0"/>
                <w:szCs w:val="24"/>
              </w:rPr>
            </w:pPr>
            <w:r w:rsidRPr="009273C7">
              <w:rPr>
                <w:b w:val="0"/>
                <w:bCs/>
                <w:i w:val="0"/>
                <w:szCs w:val="24"/>
              </w:rPr>
              <w:t>201</w:t>
            </w:r>
            <w:r w:rsidR="00894764">
              <w:rPr>
                <w:b w:val="0"/>
                <w:bCs/>
                <w:i w:val="0"/>
                <w:szCs w:val="24"/>
              </w:rPr>
              <w:t>3</w:t>
            </w:r>
            <w:r w:rsidRPr="009273C7">
              <w:rPr>
                <w:b w:val="0"/>
                <w:bCs/>
                <w:i w:val="0"/>
                <w:szCs w:val="24"/>
              </w:rPr>
              <w:t xml:space="preserve"> Program Offsets</w:t>
            </w:r>
          </w:p>
        </w:tc>
        <w:tc>
          <w:tcPr>
            <w:tcW w:w="1001"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1187"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2616" w:type="dxa"/>
            <w:vAlign w:val="center"/>
          </w:tcPr>
          <w:p w:rsidR="0030408E" w:rsidRPr="003414C5" w:rsidRDefault="00B250F4" w:rsidP="00B250F4">
            <w:pPr>
              <w:pStyle w:val="Title"/>
              <w:ind w:left="0"/>
              <w:jc w:val="right"/>
              <w:rPr>
                <w:b w:val="0"/>
                <w:bCs/>
                <w:i w:val="0"/>
                <w:szCs w:val="24"/>
              </w:rPr>
            </w:pPr>
            <w:r>
              <w:rPr>
                <w:b w:val="0"/>
                <w:bCs/>
                <w:i w:val="0"/>
                <w:szCs w:val="24"/>
              </w:rPr>
              <w:t>(148,000,000)</w:t>
            </w:r>
          </w:p>
        </w:tc>
      </w:tr>
      <w:tr w:rsidR="004E52EB" w:rsidRPr="009273C7" w:rsidTr="00E47C4B">
        <w:tc>
          <w:tcPr>
            <w:tcW w:w="4772" w:type="dxa"/>
          </w:tcPr>
          <w:p w:rsidR="004E52EB" w:rsidRPr="009273C7" w:rsidRDefault="004E52EB" w:rsidP="00FB5283">
            <w:pPr>
              <w:pStyle w:val="Title"/>
              <w:ind w:left="0"/>
              <w:jc w:val="left"/>
              <w:rPr>
                <w:b w:val="0"/>
                <w:bCs/>
                <w:i w:val="0"/>
                <w:szCs w:val="24"/>
              </w:rPr>
            </w:pPr>
            <w:r w:rsidRPr="009273C7">
              <w:rPr>
                <w:b w:val="0"/>
                <w:bCs/>
                <w:i w:val="0"/>
                <w:szCs w:val="24"/>
              </w:rPr>
              <w:t>201</w:t>
            </w:r>
            <w:r w:rsidR="00894764">
              <w:rPr>
                <w:b w:val="0"/>
                <w:bCs/>
                <w:i w:val="0"/>
                <w:szCs w:val="24"/>
              </w:rPr>
              <w:t>3</w:t>
            </w:r>
            <w:r w:rsidRPr="009273C7">
              <w:rPr>
                <w:b w:val="0"/>
                <w:bCs/>
                <w:i w:val="0"/>
                <w:szCs w:val="24"/>
              </w:rPr>
              <w:t xml:space="preserve"> </w:t>
            </w:r>
            <w:r w:rsidR="00FB5283">
              <w:rPr>
                <w:b w:val="0"/>
                <w:bCs/>
                <w:i w:val="0"/>
                <w:szCs w:val="24"/>
              </w:rPr>
              <w:t>Subtotal</w:t>
            </w:r>
            <w:r w:rsidR="005A461E">
              <w:rPr>
                <w:b w:val="0"/>
                <w:bCs/>
                <w:i w:val="0"/>
                <w:szCs w:val="24"/>
              </w:rPr>
              <w:t xml:space="preserve"> </w:t>
            </w:r>
            <w:r w:rsidRPr="009273C7">
              <w:rPr>
                <w:b w:val="0"/>
                <w:bCs/>
                <w:i w:val="0"/>
                <w:szCs w:val="24"/>
              </w:rPr>
              <w:t>Request</w:t>
            </w:r>
          </w:p>
        </w:tc>
        <w:tc>
          <w:tcPr>
            <w:tcW w:w="1001"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1187" w:type="dxa"/>
            <w:vAlign w:val="center"/>
          </w:tcPr>
          <w:p w:rsidR="004E52EB" w:rsidRPr="009273C7" w:rsidRDefault="004E52EB" w:rsidP="00166E51">
            <w:pPr>
              <w:pStyle w:val="Title"/>
              <w:ind w:left="0"/>
              <w:jc w:val="right"/>
              <w:rPr>
                <w:b w:val="0"/>
                <w:bCs/>
                <w:i w:val="0"/>
                <w:szCs w:val="24"/>
              </w:rPr>
            </w:pPr>
            <w:r w:rsidRPr="009273C7">
              <w:rPr>
                <w:b w:val="0"/>
                <w:bCs/>
                <w:i w:val="0"/>
                <w:szCs w:val="24"/>
              </w:rPr>
              <w:t>0</w:t>
            </w:r>
          </w:p>
        </w:tc>
        <w:tc>
          <w:tcPr>
            <w:tcW w:w="2616" w:type="dxa"/>
            <w:vAlign w:val="center"/>
          </w:tcPr>
          <w:p w:rsidR="004E52EB" w:rsidRPr="003414C5" w:rsidRDefault="00B250F4" w:rsidP="0030408E">
            <w:pPr>
              <w:pStyle w:val="Title"/>
              <w:ind w:left="0"/>
              <w:jc w:val="right"/>
              <w:rPr>
                <w:b w:val="0"/>
                <w:bCs/>
                <w:i w:val="0"/>
                <w:szCs w:val="24"/>
              </w:rPr>
            </w:pPr>
            <w:r>
              <w:rPr>
                <w:b w:val="0"/>
                <w:bCs/>
                <w:i w:val="0"/>
                <w:szCs w:val="24"/>
              </w:rPr>
              <w:t>268,000,000</w:t>
            </w:r>
          </w:p>
        </w:tc>
      </w:tr>
      <w:tr w:rsidR="005A461E" w:rsidRPr="009273C7" w:rsidTr="00E47C4B">
        <w:tc>
          <w:tcPr>
            <w:tcW w:w="4772" w:type="dxa"/>
          </w:tcPr>
          <w:p w:rsidR="005A461E" w:rsidRPr="009273C7" w:rsidRDefault="005A461E" w:rsidP="00894764">
            <w:pPr>
              <w:pStyle w:val="Title"/>
              <w:ind w:left="0"/>
              <w:jc w:val="left"/>
              <w:rPr>
                <w:b w:val="0"/>
                <w:bCs/>
                <w:i w:val="0"/>
                <w:szCs w:val="24"/>
              </w:rPr>
            </w:pPr>
            <w:r>
              <w:rPr>
                <w:b w:val="0"/>
                <w:bCs/>
                <w:i w:val="0"/>
                <w:szCs w:val="24"/>
              </w:rPr>
              <w:t>Rescission from Prior Year Unobligated Balance</w:t>
            </w:r>
          </w:p>
        </w:tc>
        <w:tc>
          <w:tcPr>
            <w:tcW w:w="1001" w:type="dxa"/>
            <w:vAlign w:val="center"/>
          </w:tcPr>
          <w:p w:rsidR="005A461E" w:rsidRPr="009273C7" w:rsidRDefault="005A461E" w:rsidP="00166E51">
            <w:pPr>
              <w:pStyle w:val="Title"/>
              <w:ind w:left="0"/>
              <w:jc w:val="right"/>
              <w:rPr>
                <w:b w:val="0"/>
                <w:bCs/>
                <w:i w:val="0"/>
                <w:szCs w:val="24"/>
              </w:rPr>
            </w:pPr>
          </w:p>
        </w:tc>
        <w:tc>
          <w:tcPr>
            <w:tcW w:w="1187" w:type="dxa"/>
            <w:vAlign w:val="center"/>
          </w:tcPr>
          <w:p w:rsidR="005A461E" w:rsidRPr="009273C7" w:rsidRDefault="005A461E" w:rsidP="00166E51">
            <w:pPr>
              <w:pStyle w:val="Title"/>
              <w:ind w:left="0"/>
              <w:jc w:val="right"/>
              <w:rPr>
                <w:b w:val="0"/>
                <w:bCs/>
                <w:i w:val="0"/>
                <w:szCs w:val="24"/>
              </w:rPr>
            </w:pPr>
          </w:p>
        </w:tc>
        <w:tc>
          <w:tcPr>
            <w:tcW w:w="2616" w:type="dxa"/>
            <w:vAlign w:val="center"/>
          </w:tcPr>
          <w:p w:rsidR="005A461E" w:rsidRPr="003414C5" w:rsidRDefault="005A461E" w:rsidP="000334D7">
            <w:pPr>
              <w:pStyle w:val="Title"/>
              <w:ind w:left="0"/>
              <w:jc w:val="right"/>
              <w:rPr>
                <w:b w:val="0"/>
                <w:bCs/>
                <w:i w:val="0"/>
                <w:szCs w:val="24"/>
              </w:rPr>
            </w:pPr>
            <w:r>
              <w:rPr>
                <w:b w:val="0"/>
                <w:bCs/>
                <w:i w:val="0"/>
                <w:szCs w:val="24"/>
              </w:rPr>
              <w:t>(</w:t>
            </w:r>
            <w:r w:rsidR="000334D7">
              <w:rPr>
                <w:b w:val="0"/>
                <w:bCs/>
                <w:i w:val="0"/>
                <w:szCs w:val="24"/>
              </w:rPr>
              <w:t>6</w:t>
            </w:r>
            <w:r>
              <w:rPr>
                <w:b w:val="0"/>
                <w:bCs/>
                <w:i w:val="0"/>
                <w:szCs w:val="24"/>
              </w:rPr>
              <w:t>,000,000)</w:t>
            </w:r>
          </w:p>
        </w:tc>
      </w:tr>
      <w:tr w:rsidR="005A461E" w:rsidRPr="009273C7" w:rsidTr="00E47C4B">
        <w:tc>
          <w:tcPr>
            <w:tcW w:w="4772" w:type="dxa"/>
          </w:tcPr>
          <w:p w:rsidR="005A461E" w:rsidRPr="009273C7" w:rsidRDefault="00FB5283" w:rsidP="00894764">
            <w:pPr>
              <w:pStyle w:val="Title"/>
              <w:ind w:left="0"/>
              <w:jc w:val="left"/>
              <w:rPr>
                <w:b w:val="0"/>
                <w:bCs/>
                <w:i w:val="0"/>
                <w:szCs w:val="24"/>
              </w:rPr>
            </w:pPr>
            <w:r w:rsidRPr="009273C7">
              <w:rPr>
                <w:b w:val="0"/>
                <w:bCs/>
                <w:i w:val="0"/>
                <w:szCs w:val="24"/>
              </w:rPr>
              <w:t>201</w:t>
            </w:r>
            <w:r>
              <w:rPr>
                <w:b w:val="0"/>
                <w:bCs/>
                <w:i w:val="0"/>
                <w:szCs w:val="24"/>
              </w:rPr>
              <w:t>3</w:t>
            </w:r>
            <w:r w:rsidRPr="009273C7">
              <w:rPr>
                <w:b w:val="0"/>
                <w:bCs/>
                <w:i w:val="0"/>
                <w:szCs w:val="24"/>
              </w:rPr>
              <w:t xml:space="preserve"> </w:t>
            </w:r>
            <w:r>
              <w:rPr>
                <w:b w:val="0"/>
                <w:bCs/>
                <w:i w:val="0"/>
                <w:szCs w:val="24"/>
              </w:rPr>
              <w:t xml:space="preserve">Total </w:t>
            </w:r>
            <w:r w:rsidRPr="009273C7">
              <w:rPr>
                <w:b w:val="0"/>
                <w:bCs/>
                <w:i w:val="0"/>
                <w:szCs w:val="24"/>
              </w:rPr>
              <w:t>Request</w:t>
            </w:r>
          </w:p>
        </w:tc>
        <w:tc>
          <w:tcPr>
            <w:tcW w:w="1001" w:type="dxa"/>
            <w:vAlign w:val="center"/>
          </w:tcPr>
          <w:p w:rsidR="005A461E" w:rsidRPr="009273C7" w:rsidRDefault="005A461E" w:rsidP="00166E51">
            <w:pPr>
              <w:pStyle w:val="Title"/>
              <w:ind w:left="0"/>
              <w:jc w:val="right"/>
              <w:rPr>
                <w:b w:val="0"/>
                <w:bCs/>
                <w:i w:val="0"/>
                <w:szCs w:val="24"/>
              </w:rPr>
            </w:pPr>
          </w:p>
        </w:tc>
        <w:tc>
          <w:tcPr>
            <w:tcW w:w="1187" w:type="dxa"/>
            <w:vAlign w:val="center"/>
          </w:tcPr>
          <w:p w:rsidR="005A461E" w:rsidRPr="009273C7" w:rsidRDefault="005A461E" w:rsidP="00166E51">
            <w:pPr>
              <w:pStyle w:val="Title"/>
              <w:ind w:left="0"/>
              <w:jc w:val="right"/>
              <w:rPr>
                <w:b w:val="0"/>
                <w:bCs/>
                <w:i w:val="0"/>
                <w:szCs w:val="24"/>
              </w:rPr>
            </w:pPr>
          </w:p>
        </w:tc>
        <w:tc>
          <w:tcPr>
            <w:tcW w:w="2616" w:type="dxa"/>
            <w:vAlign w:val="center"/>
          </w:tcPr>
          <w:p w:rsidR="005A461E" w:rsidRPr="003414C5" w:rsidRDefault="00B250F4" w:rsidP="0030408E">
            <w:pPr>
              <w:pStyle w:val="Title"/>
              <w:ind w:left="0"/>
              <w:jc w:val="right"/>
              <w:rPr>
                <w:b w:val="0"/>
                <w:bCs/>
                <w:i w:val="0"/>
                <w:szCs w:val="24"/>
              </w:rPr>
            </w:pPr>
            <w:r>
              <w:rPr>
                <w:b w:val="0"/>
                <w:bCs/>
                <w:i w:val="0"/>
                <w:szCs w:val="24"/>
              </w:rPr>
              <w:t>262,000,000</w:t>
            </w:r>
          </w:p>
        </w:tc>
      </w:tr>
      <w:tr w:rsidR="00E47C4B" w:rsidRPr="009273C7" w:rsidTr="00E47C4B">
        <w:tc>
          <w:tcPr>
            <w:tcW w:w="4772" w:type="dxa"/>
            <w:shd w:val="clear" w:color="auto" w:fill="E6E6E6"/>
          </w:tcPr>
          <w:p w:rsidR="00E47C4B" w:rsidRPr="00E47C4B" w:rsidRDefault="00E47C4B" w:rsidP="00894764">
            <w:pPr>
              <w:pStyle w:val="Title"/>
              <w:ind w:left="0"/>
              <w:jc w:val="left"/>
              <w:rPr>
                <w:b w:val="0"/>
                <w:i w:val="0"/>
                <w:szCs w:val="24"/>
              </w:rPr>
            </w:pPr>
            <w:r w:rsidRPr="00E47C4B">
              <w:rPr>
                <w:b w:val="0"/>
                <w:i w:val="0"/>
                <w:szCs w:val="24"/>
              </w:rPr>
              <w:lastRenderedPageBreak/>
              <w:t>2013 STOP Program – Funds Transferred from OJP Crime Victims Fund (Mandatory)</w:t>
            </w:r>
          </w:p>
        </w:tc>
        <w:tc>
          <w:tcPr>
            <w:tcW w:w="1001" w:type="dxa"/>
            <w:shd w:val="clear" w:color="auto" w:fill="E6E6E6"/>
            <w:vAlign w:val="center"/>
          </w:tcPr>
          <w:p w:rsidR="00E47C4B" w:rsidRPr="00E47C4B" w:rsidRDefault="00E47C4B" w:rsidP="00166E51">
            <w:pPr>
              <w:pStyle w:val="Title"/>
              <w:ind w:left="0"/>
              <w:jc w:val="right"/>
              <w:rPr>
                <w:b w:val="0"/>
                <w:bCs/>
                <w:i w:val="0"/>
                <w:szCs w:val="24"/>
              </w:rPr>
            </w:pPr>
          </w:p>
        </w:tc>
        <w:tc>
          <w:tcPr>
            <w:tcW w:w="1187" w:type="dxa"/>
            <w:shd w:val="clear" w:color="auto" w:fill="E6E6E6"/>
            <w:vAlign w:val="center"/>
          </w:tcPr>
          <w:p w:rsidR="00E47C4B" w:rsidRPr="00E47C4B" w:rsidRDefault="00E47C4B" w:rsidP="00166E51">
            <w:pPr>
              <w:pStyle w:val="Title"/>
              <w:ind w:left="0"/>
              <w:jc w:val="right"/>
              <w:rPr>
                <w:b w:val="0"/>
                <w:bCs/>
                <w:i w:val="0"/>
                <w:szCs w:val="24"/>
              </w:rPr>
            </w:pPr>
          </w:p>
        </w:tc>
        <w:tc>
          <w:tcPr>
            <w:tcW w:w="2616" w:type="dxa"/>
            <w:shd w:val="clear" w:color="auto" w:fill="E6E6E6"/>
            <w:vAlign w:val="center"/>
          </w:tcPr>
          <w:p w:rsidR="00E47C4B" w:rsidRPr="00E47C4B" w:rsidRDefault="00E47C4B" w:rsidP="00B250F4">
            <w:pPr>
              <w:pStyle w:val="Title"/>
              <w:ind w:left="0"/>
              <w:jc w:val="right"/>
              <w:rPr>
                <w:b w:val="0"/>
                <w:bCs/>
                <w:i w:val="0"/>
                <w:szCs w:val="24"/>
              </w:rPr>
            </w:pPr>
            <w:r w:rsidRPr="00E47C4B">
              <w:rPr>
                <w:b w:val="0"/>
                <w:bCs/>
                <w:i w:val="0"/>
                <w:szCs w:val="24"/>
              </w:rPr>
              <w:t>144,500,000</w:t>
            </w:r>
          </w:p>
        </w:tc>
      </w:tr>
      <w:tr w:rsidR="00E47C4B" w:rsidRPr="009273C7" w:rsidTr="00E47C4B">
        <w:tc>
          <w:tcPr>
            <w:tcW w:w="4772" w:type="dxa"/>
            <w:shd w:val="clear" w:color="auto" w:fill="E6E6E6"/>
          </w:tcPr>
          <w:p w:rsidR="00E47C4B" w:rsidRPr="009273C7" w:rsidRDefault="00E47C4B" w:rsidP="00894764">
            <w:pPr>
              <w:pStyle w:val="Title"/>
              <w:ind w:left="0"/>
              <w:jc w:val="left"/>
              <w:rPr>
                <w:i w:val="0"/>
                <w:szCs w:val="24"/>
              </w:rPr>
            </w:pPr>
            <w:r>
              <w:rPr>
                <w:i w:val="0"/>
                <w:szCs w:val="24"/>
              </w:rPr>
              <w:t>2013 Total Request – Discretionary and Mandatory</w:t>
            </w:r>
          </w:p>
        </w:tc>
        <w:tc>
          <w:tcPr>
            <w:tcW w:w="1001" w:type="dxa"/>
            <w:shd w:val="clear" w:color="auto" w:fill="E6E6E6"/>
            <w:vAlign w:val="center"/>
          </w:tcPr>
          <w:p w:rsidR="00E47C4B" w:rsidRPr="009273C7" w:rsidRDefault="00E47C4B" w:rsidP="00166E51">
            <w:pPr>
              <w:pStyle w:val="Title"/>
              <w:ind w:left="0"/>
              <w:jc w:val="right"/>
              <w:rPr>
                <w:bCs/>
                <w:i w:val="0"/>
                <w:szCs w:val="24"/>
              </w:rPr>
            </w:pPr>
          </w:p>
        </w:tc>
        <w:tc>
          <w:tcPr>
            <w:tcW w:w="1187" w:type="dxa"/>
            <w:shd w:val="clear" w:color="auto" w:fill="E6E6E6"/>
            <w:vAlign w:val="center"/>
          </w:tcPr>
          <w:p w:rsidR="00E47C4B" w:rsidRPr="009273C7" w:rsidRDefault="00E47C4B" w:rsidP="00166E51">
            <w:pPr>
              <w:pStyle w:val="Title"/>
              <w:ind w:left="0"/>
              <w:jc w:val="right"/>
              <w:rPr>
                <w:bCs/>
                <w:i w:val="0"/>
                <w:szCs w:val="24"/>
              </w:rPr>
            </w:pPr>
          </w:p>
        </w:tc>
        <w:tc>
          <w:tcPr>
            <w:tcW w:w="2616" w:type="dxa"/>
            <w:shd w:val="clear" w:color="auto" w:fill="E6E6E6"/>
            <w:vAlign w:val="center"/>
          </w:tcPr>
          <w:p w:rsidR="00E47C4B" w:rsidRDefault="00E47C4B" w:rsidP="00B250F4">
            <w:pPr>
              <w:pStyle w:val="Title"/>
              <w:ind w:left="0"/>
              <w:jc w:val="right"/>
              <w:rPr>
                <w:bCs/>
                <w:i w:val="0"/>
                <w:szCs w:val="24"/>
              </w:rPr>
            </w:pPr>
            <w:r>
              <w:rPr>
                <w:bCs/>
                <w:i w:val="0"/>
                <w:szCs w:val="24"/>
              </w:rPr>
              <w:t>412,500,000</w:t>
            </w:r>
          </w:p>
        </w:tc>
      </w:tr>
      <w:tr w:rsidR="00E47C4B" w:rsidRPr="009273C7" w:rsidTr="00E47C4B">
        <w:tc>
          <w:tcPr>
            <w:tcW w:w="4772" w:type="dxa"/>
            <w:shd w:val="clear" w:color="auto" w:fill="E6E6E6"/>
          </w:tcPr>
          <w:p w:rsidR="00E47C4B" w:rsidRPr="009273C7" w:rsidRDefault="00E47C4B" w:rsidP="00894764">
            <w:pPr>
              <w:pStyle w:val="Title"/>
              <w:ind w:left="0"/>
              <w:jc w:val="left"/>
              <w:rPr>
                <w:i w:val="0"/>
                <w:szCs w:val="24"/>
              </w:rPr>
            </w:pPr>
            <w:r>
              <w:rPr>
                <w:i w:val="0"/>
                <w:szCs w:val="24"/>
              </w:rPr>
              <w:t>2013 Total Request – Discretionary and Mandatory (with Rescission)</w:t>
            </w:r>
          </w:p>
        </w:tc>
        <w:tc>
          <w:tcPr>
            <w:tcW w:w="1001" w:type="dxa"/>
            <w:shd w:val="clear" w:color="auto" w:fill="E6E6E6"/>
            <w:vAlign w:val="center"/>
          </w:tcPr>
          <w:p w:rsidR="00E47C4B" w:rsidRPr="009273C7" w:rsidRDefault="00E47C4B" w:rsidP="00166E51">
            <w:pPr>
              <w:pStyle w:val="Title"/>
              <w:ind w:left="0"/>
              <w:jc w:val="right"/>
              <w:rPr>
                <w:bCs/>
                <w:i w:val="0"/>
                <w:szCs w:val="24"/>
              </w:rPr>
            </w:pPr>
          </w:p>
        </w:tc>
        <w:tc>
          <w:tcPr>
            <w:tcW w:w="1187" w:type="dxa"/>
            <w:shd w:val="clear" w:color="auto" w:fill="E6E6E6"/>
            <w:vAlign w:val="center"/>
          </w:tcPr>
          <w:p w:rsidR="00E47C4B" w:rsidRPr="009273C7" w:rsidRDefault="00E47C4B" w:rsidP="00166E51">
            <w:pPr>
              <w:pStyle w:val="Title"/>
              <w:ind w:left="0"/>
              <w:jc w:val="right"/>
              <w:rPr>
                <w:bCs/>
                <w:i w:val="0"/>
                <w:szCs w:val="24"/>
              </w:rPr>
            </w:pPr>
          </w:p>
        </w:tc>
        <w:tc>
          <w:tcPr>
            <w:tcW w:w="2616" w:type="dxa"/>
            <w:shd w:val="clear" w:color="auto" w:fill="E6E6E6"/>
            <w:vAlign w:val="center"/>
          </w:tcPr>
          <w:p w:rsidR="00E47C4B" w:rsidRDefault="00E47C4B" w:rsidP="00B250F4">
            <w:pPr>
              <w:pStyle w:val="Title"/>
              <w:ind w:left="0"/>
              <w:jc w:val="right"/>
              <w:rPr>
                <w:bCs/>
                <w:i w:val="0"/>
                <w:szCs w:val="24"/>
              </w:rPr>
            </w:pPr>
            <w:r>
              <w:rPr>
                <w:bCs/>
                <w:i w:val="0"/>
                <w:szCs w:val="24"/>
              </w:rPr>
              <w:t>406,500,000</w:t>
            </w:r>
          </w:p>
        </w:tc>
      </w:tr>
      <w:tr w:rsidR="004E52EB" w:rsidRPr="009273C7" w:rsidTr="00E47C4B">
        <w:tc>
          <w:tcPr>
            <w:tcW w:w="4772" w:type="dxa"/>
            <w:shd w:val="clear" w:color="auto" w:fill="E6E6E6"/>
          </w:tcPr>
          <w:p w:rsidR="004E52EB" w:rsidRPr="009273C7" w:rsidRDefault="004E52EB" w:rsidP="00894764">
            <w:pPr>
              <w:pStyle w:val="Title"/>
              <w:ind w:left="0"/>
              <w:jc w:val="left"/>
              <w:rPr>
                <w:b w:val="0"/>
                <w:bCs/>
                <w:i w:val="0"/>
                <w:szCs w:val="24"/>
              </w:rPr>
            </w:pPr>
            <w:r w:rsidRPr="009273C7">
              <w:rPr>
                <w:i w:val="0"/>
                <w:szCs w:val="24"/>
              </w:rPr>
              <w:t>Total Change 201</w:t>
            </w:r>
            <w:r w:rsidR="00894764">
              <w:rPr>
                <w:i w:val="0"/>
                <w:szCs w:val="24"/>
              </w:rPr>
              <w:t>2</w:t>
            </w:r>
            <w:r w:rsidRPr="009273C7">
              <w:rPr>
                <w:i w:val="0"/>
                <w:szCs w:val="24"/>
              </w:rPr>
              <w:t>-201</w:t>
            </w:r>
            <w:r w:rsidR="00894764">
              <w:rPr>
                <w:i w:val="0"/>
                <w:szCs w:val="24"/>
              </w:rPr>
              <w:t>3</w:t>
            </w:r>
            <w:r w:rsidR="00E47C4B">
              <w:rPr>
                <w:i w:val="0"/>
                <w:szCs w:val="24"/>
              </w:rPr>
              <w:t xml:space="preserve"> without rescission</w:t>
            </w:r>
          </w:p>
        </w:tc>
        <w:tc>
          <w:tcPr>
            <w:tcW w:w="1001" w:type="dxa"/>
            <w:shd w:val="clear" w:color="auto" w:fill="E6E6E6"/>
            <w:vAlign w:val="center"/>
          </w:tcPr>
          <w:p w:rsidR="004E52EB" w:rsidRPr="009273C7" w:rsidRDefault="004E52EB" w:rsidP="00166E51">
            <w:pPr>
              <w:pStyle w:val="Title"/>
              <w:ind w:left="0"/>
              <w:jc w:val="right"/>
              <w:rPr>
                <w:bCs/>
                <w:i w:val="0"/>
                <w:szCs w:val="24"/>
              </w:rPr>
            </w:pPr>
            <w:r w:rsidRPr="009273C7">
              <w:rPr>
                <w:bCs/>
                <w:i w:val="0"/>
                <w:szCs w:val="24"/>
              </w:rPr>
              <w:t>0</w:t>
            </w:r>
          </w:p>
        </w:tc>
        <w:tc>
          <w:tcPr>
            <w:tcW w:w="1187" w:type="dxa"/>
            <w:shd w:val="clear" w:color="auto" w:fill="E6E6E6"/>
            <w:vAlign w:val="center"/>
          </w:tcPr>
          <w:p w:rsidR="004E52EB" w:rsidRPr="009273C7" w:rsidRDefault="004E52EB" w:rsidP="00166E51">
            <w:pPr>
              <w:pStyle w:val="Title"/>
              <w:ind w:left="0"/>
              <w:jc w:val="right"/>
              <w:rPr>
                <w:bCs/>
                <w:i w:val="0"/>
                <w:szCs w:val="24"/>
              </w:rPr>
            </w:pPr>
            <w:r w:rsidRPr="009273C7">
              <w:rPr>
                <w:bCs/>
                <w:i w:val="0"/>
                <w:szCs w:val="24"/>
              </w:rPr>
              <w:t>0</w:t>
            </w:r>
          </w:p>
        </w:tc>
        <w:tc>
          <w:tcPr>
            <w:tcW w:w="2616" w:type="dxa"/>
            <w:shd w:val="clear" w:color="auto" w:fill="E6E6E6"/>
            <w:vAlign w:val="center"/>
          </w:tcPr>
          <w:p w:rsidR="004E52EB" w:rsidRPr="003414C5" w:rsidRDefault="00FB5283" w:rsidP="00E47C4B">
            <w:pPr>
              <w:pStyle w:val="Title"/>
              <w:ind w:left="0"/>
              <w:jc w:val="right"/>
              <w:rPr>
                <w:bCs/>
                <w:i w:val="0"/>
                <w:szCs w:val="24"/>
              </w:rPr>
            </w:pPr>
            <w:r>
              <w:rPr>
                <w:bCs/>
                <w:i w:val="0"/>
                <w:szCs w:val="24"/>
              </w:rPr>
              <w:t>(</w:t>
            </w:r>
            <w:r w:rsidR="00E47C4B">
              <w:rPr>
                <w:bCs/>
                <w:i w:val="0"/>
                <w:szCs w:val="24"/>
              </w:rPr>
              <w:t>0</w:t>
            </w:r>
            <w:r>
              <w:rPr>
                <w:bCs/>
                <w:i w:val="0"/>
                <w:szCs w:val="24"/>
              </w:rPr>
              <w:t>)</w:t>
            </w:r>
          </w:p>
        </w:tc>
      </w:tr>
      <w:tr w:rsidR="004E52EB" w:rsidRPr="009273C7" w:rsidTr="00E47C4B">
        <w:tc>
          <w:tcPr>
            <w:tcW w:w="4772" w:type="dxa"/>
          </w:tcPr>
          <w:p w:rsidR="004E52EB" w:rsidRPr="007A7E57" w:rsidRDefault="004E52EB" w:rsidP="00166E51">
            <w:pPr>
              <w:pStyle w:val="Title"/>
              <w:ind w:left="0"/>
              <w:jc w:val="left"/>
              <w:rPr>
                <w:i w:val="0"/>
              </w:rPr>
            </w:pPr>
            <w:bookmarkStart w:id="3" w:name="_Hlk227488327"/>
            <w:r w:rsidRPr="007A7E57">
              <w:rPr>
                <w:i w:val="0"/>
              </w:rPr>
              <w:t xml:space="preserve">Office on Violence </w:t>
            </w:r>
            <w:proofErr w:type="gramStart"/>
            <w:r w:rsidRPr="007A7E57">
              <w:rPr>
                <w:i w:val="0"/>
              </w:rPr>
              <w:t>Against</w:t>
            </w:r>
            <w:proofErr w:type="gramEnd"/>
            <w:r w:rsidRPr="007A7E57">
              <w:rPr>
                <w:i w:val="0"/>
              </w:rPr>
              <w:t xml:space="preserve"> Women</w:t>
            </w:r>
            <w:r>
              <w:rPr>
                <w:i w:val="0"/>
              </w:rPr>
              <w:t xml:space="preserve"> -</w:t>
            </w:r>
            <w:r w:rsidRPr="007A7E57">
              <w:rPr>
                <w:i w:val="0"/>
              </w:rPr>
              <w:t xml:space="preserve"> </w:t>
            </w:r>
          </w:p>
          <w:p w:rsidR="004E52EB" w:rsidRPr="009273C7" w:rsidRDefault="004E52EB" w:rsidP="00166E51">
            <w:pPr>
              <w:pStyle w:val="Title"/>
              <w:ind w:left="0"/>
              <w:jc w:val="left"/>
              <w:rPr>
                <w:i w:val="0"/>
                <w:szCs w:val="24"/>
              </w:rPr>
            </w:pPr>
            <w:r>
              <w:rPr>
                <w:i w:val="0"/>
              </w:rPr>
              <w:t>Management and Administration</w:t>
            </w:r>
          </w:p>
        </w:tc>
        <w:tc>
          <w:tcPr>
            <w:tcW w:w="1001" w:type="dxa"/>
            <w:vAlign w:val="center"/>
          </w:tcPr>
          <w:p w:rsidR="004E52EB" w:rsidRPr="009273C7" w:rsidRDefault="004E52EB" w:rsidP="00166E51">
            <w:pPr>
              <w:pStyle w:val="Title"/>
              <w:ind w:left="0"/>
              <w:jc w:val="right"/>
              <w:rPr>
                <w:b w:val="0"/>
                <w:bCs/>
                <w:i w:val="0"/>
                <w:szCs w:val="24"/>
              </w:rPr>
            </w:pPr>
          </w:p>
        </w:tc>
        <w:tc>
          <w:tcPr>
            <w:tcW w:w="1187" w:type="dxa"/>
            <w:vAlign w:val="center"/>
          </w:tcPr>
          <w:p w:rsidR="004E52EB" w:rsidRPr="009273C7" w:rsidRDefault="004E52EB" w:rsidP="00166E51">
            <w:pPr>
              <w:pStyle w:val="Title"/>
              <w:ind w:left="0"/>
              <w:jc w:val="right"/>
              <w:rPr>
                <w:b w:val="0"/>
                <w:bCs/>
                <w:i w:val="0"/>
                <w:szCs w:val="24"/>
              </w:rPr>
            </w:pPr>
          </w:p>
        </w:tc>
        <w:tc>
          <w:tcPr>
            <w:tcW w:w="2616" w:type="dxa"/>
            <w:vAlign w:val="center"/>
          </w:tcPr>
          <w:p w:rsidR="004E52EB" w:rsidRPr="009273C7" w:rsidRDefault="004E52EB" w:rsidP="00166E51">
            <w:pPr>
              <w:pStyle w:val="Title"/>
              <w:ind w:left="0"/>
              <w:jc w:val="right"/>
              <w:rPr>
                <w:b w:val="0"/>
                <w:bCs/>
                <w:i w:val="0"/>
                <w:szCs w:val="24"/>
              </w:rPr>
            </w:pPr>
          </w:p>
        </w:tc>
      </w:tr>
      <w:tr w:rsidR="004E52EB" w:rsidRPr="009273C7" w:rsidTr="00E47C4B">
        <w:tc>
          <w:tcPr>
            <w:tcW w:w="4772" w:type="dxa"/>
          </w:tcPr>
          <w:p w:rsidR="004E52EB" w:rsidRPr="009273C7" w:rsidRDefault="004E52EB" w:rsidP="009656DC">
            <w:pPr>
              <w:pStyle w:val="Title"/>
              <w:ind w:left="0"/>
              <w:jc w:val="left"/>
              <w:rPr>
                <w:b w:val="0"/>
                <w:bCs/>
                <w:i w:val="0"/>
                <w:szCs w:val="24"/>
              </w:rPr>
            </w:pPr>
            <w:r w:rsidRPr="009273C7">
              <w:rPr>
                <w:b w:val="0"/>
                <w:bCs/>
                <w:i w:val="0"/>
                <w:szCs w:val="24"/>
              </w:rPr>
              <w:t>201</w:t>
            </w:r>
            <w:r w:rsidR="009656DC">
              <w:rPr>
                <w:b w:val="0"/>
                <w:bCs/>
                <w:i w:val="0"/>
                <w:szCs w:val="24"/>
              </w:rPr>
              <w:t>1</w:t>
            </w:r>
            <w:r w:rsidRPr="009273C7">
              <w:rPr>
                <w:b w:val="0"/>
                <w:bCs/>
                <w:i w:val="0"/>
                <w:szCs w:val="24"/>
              </w:rPr>
              <w:t xml:space="preserve"> Enacted with Rescissions</w:t>
            </w:r>
          </w:p>
        </w:tc>
        <w:tc>
          <w:tcPr>
            <w:tcW w:w="1001" w:type="dxa"/>
            <w:vAlign w:val="center"/>
          </w:tcPr>
          <w:p w:rsidR="004E52EB" w:rsidRPr="00BD2ED0" w:rsidRDefault="00BD2ED0" w:rsidP="00166E51">
            <w:pPr>
              <w:pStyle w:val="Title"/>
              <w:ind w:left="0"/>
              <w:jc w:val="right"/>
              <w:rPr>
                <w:b w:val="0"/>
                <w:bCs/>
                <w:i w:val="0"/>
                <w:szCs w:val="24"/>
              </w:rPr>
            </w:pPr>
            <w:r w:rsidRPr="00BD2ED0">
              <w:rPr>
                <w:b w:val="0"/>
                <w:bCs/>
                <w:i w:val="0"/>
                <w:szCs w:val="24"/>
              </w:rPr>
              <w:t>70</w:t>
            </w:r>
          </w:p>
        </w:tc>
        <w:tc>
          <w:tcPr>
            <w:tcW w:w="1187" w:type="dxa"/>
            <w:vAlign w:val="center"/>
          </w:tcPr>
          <w:p w:rsidR="004E52EB" w:rsidRPr="00BD2ED0" w:rsidRDefault="00BD2ED0" w:rsidP="00166E51">
            <w:pPr>
              <w:pStyle w:val="Title"/>
              <w:ind w:left="0"/>
              <w:jc w:val="right"/>
              <w:rPr>
                <w:b w:val="0"/>
                <w:bCs/>
                <w:i w:val="0"/>
                <w:szCs w:val="24"/>
              </w:rPr>
            </w:pPr>
            <w:r w:rsidRPr="00BD2ED0">
              <w:rPr>
                <w:b w:val="0"/>
                <w:bCs/>
                <w:i w:val="0"/>
                <w:szCs w:val="24"/>
              </w:rPr>
              <w:t>70</w:t>
            </w:r>
          </w:p>
        </w:tc>
        <w:tc>
          <w:tcPr>
            <w:tcW w:w="2616" w:type="dxa"/>
            <w:vAlign w:val="center"/>
          </w:tcPr>
          <w:p w:rsidR="004E52EB" w:rsidRPr="009273C7" w:rsidRDefault="009656DC" w:rsidP="00166E51">
            <w:pPr>
              <w:pStyle w:val="Title"/>
              <w:ind w:left="0"/>
              <w:jc w:val="right"/>
              <w:rPr>
                <w:b w:val="0"/>
                <w:bCs/>
                <w:i w:val="0"/>
                <w:szCs w:val="24"/>
              </w:rPr>
            </w:pPr>
            <w:r>
              <w:rPr>
                <w:b w:val="0"/>
                <w:bCs/>
                <w:i w:val="0"/>
                <w:szCs w:val="24"/>
              </w:rPr>
              <w:t>13,738,000</w:t>
            </w:r>
          </w:p>
        </w:tc>
      </w:tr>
      <w:tr w:rsidR="004E52EB" w:rsidRPr="009273C7" w:rsidTr="00E47C4B">
        <w:tc>
          <w:tcPr>
            <w:tcW w:w="4772" w:type="dxa"/>
          </w:tcPr>
          <w:p w:rsidR="004E52EB" w:rsidRPr="009273C7" w:rsidRDefault="004E52EB" w:rsidP="00113E8C">
            <w:pPr>
              <w:pStyle w:val="Title"/>
              <w:ind w:left="0"/>
              <w:jc w:val="left"/>
              <w:rPr>
                <w:b w:val="0"/>
                <w:bCs/>
                <w:i w:val="0"/>
                <w:szCs w:val="24"/>
              </w:rPr>
            </w:pPr>
            <w:r w:rsidRPr="009273C7">
              <w:rPr>
                <w:b w:val="0"/>
                <w:bCs/>
                <w:i w:val="0"/>
                <w:szCs w:val="24"/>
              </w:rPr>
              <w:t xml:space="preserve">   201</w:t>
            </w:r>
            <w:r w:rsidR="00BD2ED0">
              <w:rPr>
                <w:b w:val="0"/>
                <w:bCs/>
                <w:i w:val="0"/>
                <w:szCs w:val="24"/>
              </w:rPr>
              <w:t>1</w:t>
            </w:r>
            <w:r w:rsidRPr="009273C7">
              <w:rPr>
                <w:b w:val="0"/>
                <w:bCs/>
                <w:i w:val="0"/>
                <w:szCs w:val="24"/>
              </w:rPr>
              <w:t xml:space="preserve"> </w:t>
            </w:r>
            <w:r w:rsidR="00113E8C">
              <w:rPr>
                <w:b w:val="0"/>
                <w:bCs/>
                <w:i w:val="0"/>
                <w:szCs w:val="24"/>
              </w:rPr>
              <w:t>Supplemental</w:t>
            </w:r>
          </w:p>
        </w:tc>
        <w:tc>
          <w:tcPr>
            <w:tcW w:w="1001" w:type="dxa"/>
            <w:vAlign w:val="center"/>
          </w:tcPr>
          <w:p w:rsidR="004E52EB" w:rsidRPr="00BD2ED0" w:rsidRDefault="00962635" w:rsidP="00166E51">
            <w:pPr>
              <w:pStyle w:val="Title"/>
              <w:ind w:left="0"/>
              <w:jc w:val="right"/>
              <w:rPr>
                <w:b w:val="0"/>
                <w:bCs/>
                <w:i w:val="0"/>
                <w:szCs w:val="24"/>
              </w:rPr>
            </w:pPr>
            <w:r w:rsidRPr="00BD2ED0">
              <w:rPr>
                <w:b w:val="0"/>
                <w:bCs/>
                <w:i w:val="0"/>
                <w:szCs w:val="24"/>
              </w:rPr>
              <w:t>0</w:t>
            </w:r>
          </w:p>
        </w:tc>
        <w:tc>
          <w:tcPr>
            <w:tcW w:w="1187" w:type="dxa"/>
            <w:vAlign w:val="center"/>
          </w:tcPr>
          <w:p w:rsidR="004E52EB" w:rsidRPr="00BD2ED0" w:rsidRDefault="00962635" w:rsidP="00166E51">
            <w:pPr>
              <w:pStyle w:val="Title"/>
              <w:ind w:left="0"/>
              <w:jc w:val="right"/>
              <w:rPr>
                <w:b w:val="0"/>
                <w:bCs/>
                <w:i w:val="0"/>
                <w:szCs w:val="24"/>
              </w:rPr>
            </w:pPr>
            <w:r w:rsidRPr="00BD2ED0">
              <w:rPr>
                <w:b w:val="0"/>
                <w:bCs/>
                <w:i w:val="0"/>
                <w:szCs w:val="24"/>
              </w:rPr>
              <w:t>0</w:t>
            </w:r>
          </w:p>
        </w:tc>
        <w:tc>
          <w:tcPr>
            <w:tcW w:w="2616" w:type="dxa"/>
            <w:vAlign w:val="center"/>
          </w:tcPr>
          <w:p w:rsidR="004E52EB" w:rsidRPr="009273C7" w:rsidRDefault="00113E8C" w:rsidP="00166E51">
            <w:pPr>
              <w:pStyle w:val="Title"/>
              <w:ind w:left="0"/>
              <w:jc w:val="right"/>
              <w:rPr>
                <w:b w:val="0"/>
                <w:bCs/>
                <w:i w:val="0"/>
                <w:szCs w:val="24"/>
              </w:rPr>
            </w:pPr>
            <w:r>
              <w:rPr>
                <w:b w:val="0"/>
                <w:bCs/>
                <w:i w:val="0"/>
                <w:szCs w:val="24"/>
              </w:rPr>
              <w:t>0</w:t>
            </w:r>
          </w:p>
        </w:tc>
      </w:tr>
      <w:tr w:rsidR="004E52EB" w:rsidRPr="009273C7" w:rsidTr="00E47C4B">
        <w:tc>
          <w:tcPr>
            <w:tcW w:w="4772" w:type="dxa"/>
          </w:tcPr>
          <w:p w:rsidR="004E52EB" w:rsidRPr="009273C7" w:rsidRDefault="001A6098" w:rsidP="001A6098">
            <w:pPr>
              <w:pStyle w:val="Title"/>
              <w:ind w:left="0"/>
              <w:jc w:val="left"/>
              <w:rPr>
                <w:b w:val="0"/>
                <w:bCs/>
                <w:i w:val="0"/>
                <w:szCs w:val="24"/>
              </w:rPr>
            </w:pPr>
            <w:r>
              <w:rPr>
                <w:b w:val="0"/>
                <w:bCs/>
                <w:i w:val="0"/>
                <w:szCs w:val="24"/>
              </w:rPr>
              <w:t xml:space="preserve">2012 </w:t>
            </w:r>
            <w:r w:rsidR="004E52EB">
              <w:rPr>
                <w:b w:val="0"/>
                <w:bCs/>
                <w:i w:val="0"/>
                <w:szCs w:val="24"/>
              </w:rPr>
              <w:t>Enacted w/Rescission</w:t>
            </w:r>
            <w:r w:rsidR="00E31195">
              <w:rPr>
                <w:b w:val="0"/>
                <w:bCs/>
                <w:i w:val="0"/>
                <w:szCs w:val="24"/>
              </w:rPr>
              <w:t>s</w:t>
            </w:r>
            <w:r w:rsidR="004E52EB">
              <w:rPr>
                <w:b w:val="0"/>
                <w:bCs/>
                <w:i w:val="0"/>
                <w:szCs w:val="24"/>
              </w:rPr>
              <w:t xml:space="preserve"> and </w:t>
            </w:r>
            <w:r w:rsidR="004E52EB" w:rsidRPr="009273C7">
              <w:rPr>
                <w:b w:val="0"/>
                <w:bCs/>
                <w:i w:val="0"/>
                <w:szCs w:val="24"/>
              </w:rPr>
              <w:t>Supplemental</w:t>
            </w:r>
            <w:r w:rsidR="00E31195">
              <w:rPr>
                <w:b w:val="0"/>
                <w:bCs/>
                <w:i w:val="0"/>
                <w:szCs w:val="24"/>
              </w:rPr>
              <w:t>s</w:t>
            </w:r>
          </w:p>
        </w:tc>
        <w:tc>
          <w:tcPr>
            <w:tcW w:w="1001" w:type="dxa"/>
            <w:vAlign w:val="center"/>
          </w:tcPr>
          <w:p w:rsidR="004E52EB" w:rsidRPr="00BD2ED0" w:rsidRDefault="00BD2ED0" w:rsidP="00166E51">
            <w:pPr>
              <w:pStyle w:val="Title"/>
              <w:ind w:left="0"/>
              <w:jc w:val="right"/>
              <w:rPr>
                <w:b w:val="0"/>
                <w:bCs/>
                <w:i w:val="0"/>
                <w:szCs w:val="24"/>
              </w:rPr>
            </w:pPr>
            <w:r w:rsidRPr="00BD2ED0">
              <w:rPr>
                <w:b w:val="0"/>
                <w:bCs/>
                <w:i w:val="0"/>
                <w:szCs w:val="24"/>
              </w:rPr>
              <w:t>70</w:t>
            </w:r>
          </w:p>
        </w:tc>
        <w:tc>
          <w:tcPr>
            <w:tcW w:w="1187" w:type="dxa"/>
            <w:vAlign w:val="center"/>
          </w:tcPr>
          <w:p w:rsidR="004E52EB" w:rsidRPr="00BD2ED0" w:rsidRDefault="00BD2ED0" w:rsidP="00166E51">
            <w:pPr>
              <w:pStyle w:val="Title"/>
              <w:ind w:left="0"/>
              <w:jc w:val="right"/>
              <w:rPr>
                <w:b w:val="0"/>
                <w:bCs/>
                <w:i w:val="0"/>
                <w:szCs w:val="24"/>
              </w:rPr>
            </w:pPr>
            <w:r w:rsidRPr="00BD2ED0">
              <w:rPr>
                <w:b w:val="0"/>
                <w:bCs/>
                <w:i w:val="0"/>
                <w:szCs w:val="24"/>
              </w:rPr>
              <w:t>70</w:t>
            </w:r>
          </w:p>
        </w:tc>
        <w:tc>
          <w:tcPr>
            <w:tcW w:w="2616" w:type="dxa"/>
            <w:vAlign w:val="center"/>
          </w:tcPr>
          <w:p w:rsidR="004E52EB" w:rsidRPr="009273C7" w:rsidRDefault="001A6098" w:rsidP="00E31195">
            <w:pPr>
              <w:pStyle w:val="Title"/>
              <w:ind w:left="0"/>
              <w:jc w:val="right"/>
              <w:rPr>
                <w:b w:val="0"/>
                <w:bCs/>
                <w:i w:val="0"/>
                <w:szCs w:val="24"/>
              </w:rPr>
            </w:pPr>
            <w:r>
              <w:rPr>
                <w:b w:val="0"/>
                <w:bCs/>
                <w:i w:val="0"/>
                <w:szCs w:val="24"/>
              </w:rPr>
              <w:t>[18,186,000]</w:t>
            </w:r>
          </w:p>
        </w:tc>
      </w:tr>
      <w:tr w:rsidR="004E52EB" w:rsidRPr="009273C7" w:rsidTr="00E47C4B">
        <w:tc>
          <w:tcPr>
            <w:tcW w:w="4772" w:type="dxa"/>
          </w:tcPr>
          <w:p w:rsidR="004E52EB" w:rsidRPr="009273C7" w:rsidRDefault="004E52EB" w:rsidP="00BD2ED0">
            <w:pPr>
              <w:pStyle w:val="Title"/>
              <w:ind w:left="0"/>
              <w:jc w:val="left"/>
              <w:rPr>
                <w:b w:val="0"/>
                <w:bCs/>
                <w:i w:val="0"/>
                <w:szCs w:val="24"/>
              </w:rPr>
            </w:pPr>
            <w:r w:rsidRPr="009273C7">
              <w:rPr>
                <w:b w:val="0"/>
                <w:bCs/>
                <w:i w:val="0"/>
                <w:szCs w:val="24"/>
              </w:rPr>
              <w:t>201</w:t>
            </w:r>
            <w:r w:rsidR="00BD2ED0">
              <w:rPr>
                <w:b w:val="0"/>
                <w:bCs/>
                <w:i w:val="0"/>
                <w:szCs w:val="24"/>
              </w:rPr>
              <w:t>2</w:t>
            </w:r>
            <w:r w:rsidRPr="009273C7">
              <w:rPr>
                <w:b w:val="0"/>
                <w:bCs/>
                <w:i w:val="0"/>
                <w:szCs w:val="24"/>
              </w:rPr>
              <w:t xml:space="preserve"> </w:t>
            </w:r>
            <w:r w:rsidR="00087BDF">
              <w:rPr>
                <w:b w:val="0"/>
                <w:bCs/>
                <w:i w:val="0"/>
                <w:szCs w:val="24"/>
              </w:rPr>
              <w:t>C</w:t>
            </w:r>
            <w:r w:rsidR="00BD2ED0">
              <w:rPr>
                <w:b w:val="0"/>
                <w:bCs/>
                <w:i w:val="0"/>
                <w:szCs w:val="24"/>
              </w:rPr>
              <w:t xml:space="preserve">urrent </w:t>
            </w:r>
            <w:r w:rsidR="00087BDF">
              <w:rPr>
                <w:b w:val="0"/>
                <w:bCs/>
                <w:i w:val="0"/>
                <w:szCs w:val="24"/>
              </w:rPr>
              <w:t>R</w:t>
            </w:r>
            <w:r w:rsidR="00BD2ED0">
              <w:rPr>
                <w:b w:val="0"/>
                <w:bCs/>
                <w:i w:val="0"/>
                <w:szCs w:val="24"/>
              </w:rPr>
              <w:t>ate</w:t>
            </w:r>
          </w:p>
        </w:tc>
        <w:tc>
          <w:tcPr>
            <w:tcW w:w="1001" w:type="dxa"/>
            <w:vAlign w:val="center"/>
          </w:tcPr>
          <w:p w:rsidR="004E52EB" w:rsidRPr="00BD2ED0" w:rsidRDefault="00962635" w:rsidP="00166E51">
            <w:pPr>
              <w:pStyle w:val="Title"/>
              <w:ind w:left="0"/>
              <w:jc w:val="right"/>
              <w:rPr>
                <w:b w:val="0"/>
                <w:bCs/>
                <w:i w:val="0"/>
                <w:szCs w:val="24"/>
              </w:rPr>
            </w:pPr>
            <w:r w:rsidRPr="00BD2ED0">
              <w:rPr>
                <w:b w:val="0"/>
                <w:bCs/>
                <w:i w:val="0"/>
                <w:szCs w:val="24"/>
              </w:rPr>
              <w:t>70</w:t>
            </w:r>
          </w:p>
        </w:tc>
        <w:tc>
          <w:tcPr>
            <w:tcW w:w="1187" w:type="dxa"/>
            <w:vAlign w:val="center"/>
          </w:tcPr>
          <w:p w:rsidR="004E52EB" w:rsidRPr="00BD2ED0" w:rsidRDefault="00962635" w:rsidP="00166E51">
            <w:pPr>
              <w:pStyle w:val="Title"/>
              <w:ind w:left="0"/>
              <w:jc w:val="right"/>
              <w:rPr>
                <w:b w:val="0"/>
                <w:bCs/>
                <w:i w:val="0"/>
                <w:szCs w:val="24"/>
              </w:rPr>
            </w:pPr>
            <w:r w:rsidRPr="00BD2ED0">
              <w:rPr>
                <w:b w:val="0"/>
                <w:bCs/>
                <w:i w:val="0"/>
                <w:szCs w:val="24"/>
              </w:rPr>
              <w:t>70</w:t>
            </w:r>
          </w:p>
        </w:tc>
        <w:tc>
          <w:tcPr>
            <w:tcW w:w="2616" w:type="dxa"/>
            <w:vAlign w:val="center"/>
          </w:tcPr>
          <w:p w:rsidR="00E31195" w:rsidRPr="009273C7" w:rsidRDefault="00F317AF" w:rsidP="00E31195">
            <w:pPr>
              <w:pStyle w:val="Title"/>
              <w:ind w:left="0"/>
              <w:jc w:val="right"/>
              <w:rPr>
                <w:b w:val="0"/>
                <w:bCs/>
                <w:i w:val="0"/>
                <w:szCs w:val="24"/>
              </w:rPr>
            </w:pPr>
            <w:r>
              <w:rPr>
                <w:b w:val="0"/>
                <w:bCs/>
                <w:i w:val="0"/>
                <w:szCs w:val="24"/>
              </w:rPr>
              <w:t>[</w:t>
            </w:r>
            <w:r w:rsidR="00B250F4">
              <w:rPr>
                <w:b w:val="0"/>
                <w:bCs/>
                <w:i w:val="0"/>
                <w:szCs w:val="24"/>
              </w:rPr>
              <w:t>18,186</w:t>
            </w:r>
            <w:r w:rsidR="00E31195">
              <w:rPr>
                <w:b w:val="0"/>
                <w:bCs/>
                <w:i w:val="0"/>
                <w:szCs w:val="24"/>
              </w:rPr>
              <w:t>,000</w:t>
            </w:r>
            <w:r>
              <w:rPr>
                <w:b w:val="0"/>
                <w:bCs/>
                <w:i w:val="0"/>
                <w:szCs w:val="24"/>
              </w:rPr>
              <w:t>]</w:t>
            </w:r>
          </w:p>
        </w:tc>
      </w:tr>
      <w:tr w:rsidR="004E52EB" w:rsidRPr="009273C7" w:rsidTr="00E47C4B">
        <w:tc>
          <w:tcPr>
            <w:tcW w:w="4772" w:type="dxa"/>
          </w:tcPr>
          <w:p w:rsidR="004E52EB" w:rsidRPr="009273C7" w:rsidRDefault="004E52EB" w:rsidP="00166E51">
            <w:pPr>
              <w:pStyle w:val="Title"/>
              <w:ind w:left="0"/>
              <w:jc w:val="left"/>
              <w:rPr>
                <w:b w:val="0"/>
                <w:bCs/>
                <w:i w:val="0"/>
                <w:szCs w:val="24"/>
              </w:rPr>
            </w:pPr>
            <w:r w:rsidRPr="009273C7">
              <w:rPr>
                <w:b w:val="0"/>
                <w:bCs/>
                <w:i w:val="0"/>
                <w:szCs w:val="24"/>
              </w:rPr>
              <w:t>Adjustments to Base and Technical Adjustments</w:t>
            </w:r>
          </w:p>
        </w:tc>
        <w:tc>
          <w:tcPr>
            <w:tcW w:w="1001" w:type="dxa"/>
            <w:vAlign w:val="center"/>
          </w:tcPr>
          <w:p w:rsidR="004E52EB" w:rsidRPr="00BD2ED0" w:rsidRDefault="004E52EB" w:rsidP="00166E51">
            <w:pPr>
              <w:pStyle w:val="Title"/>
              <w:ind w:left="0"/>
              <w:jc w:val="right"/>
              <w:rPr>
                <w:b w:val="0"/>
                <w:bCs/>
                <w:i w:val="0"/>
                <w:szCs w:val="24"/>
                <w:highlight w:val="yellow"/>
              </w:rPr>
            </w:pPr>
          </w:p>
        </w:tc>
        <w:tc>
          <w:tcPr>
            <w:tcW w:w="1187" w:type="dxa"/>
            <w:vAlign w:val="center"/>
          </w:tcPr>
          <w:p w:rsidR="004E52EB" w:rsidRPr="00BD2ED0" w:rsidRDefault="004E52EB" w:rsidP="00166E51">
            <w:pPr>
              <w:pStyle w:val="Title"/>
              <w:ind w:left="0"/>
              <w:jc w:val="right"/>
              <w:rPr>
                <w:b w:val="0"/>
                <w:bCs/>
                <w:i w:val="0"/>
                <w:szCs w:val="24"/>
                <w:highlight w:val="yellow"/>
              </w:rPr>
            </w:pPr>
          </w:p>
        </w:tc>
        <w:tc>
          <w:tcPr>
            <w:tcW w:w="2616" w:type="dxa"/>
            <w:vAlign w:val="center"/>
          </w:tcPr>
          <w:p w:rsidR="00586F65" w:rsidRPr="009273C7" w:rsidRDefault="00F317AF" w:rsidP="00A16CD5">
            <w:pPr>
              <w:pStyle w:val="Title"/>
              <w:ind w:left="0"/>
              <w:jc w:val="right"/>
              <w:rPr>
                <w:b w:val="0"/>
                <w:bCs/>
                <w:i w:val="0"/>
                <w:szCs w:val="24"/>
              </w:rPr>
            </w:pPr>
            <w:r>
              <w:rPr>
                <w:b w:val="0"/>
                <w:bCs/>
                <w:i w:val="0"/>
                <w:szCs w:val="24"/>
              </w:rPr>
              <w:t>[</w:t>
            </w:r>
            <w:r w:rsidR="00A16CD5">
              <w:rPr>
                <w:b w:val="0"/>
                <w:bCs/>
                <w:i w:val="0"/>
                <w:szCs w:val="24"/>
              </w:rPr>
              <w:t>596</w:t>
            </w:r>
            <w:r w:rsidR="00B250F4">
              <w:rPr>
                <w:b w:val="0"/>
                <w:bCs/>
                <w:i w:val="0"/>
                <w:szCs w:val="24"/>
              </w:rPr>
              <w:t>,000</w:t>
            </w:r>
            <w:r>
              <w:rPr>
                <w:b w:val="0"/>
                <w:bCs/>
                <w:i w:val="0"/>
                <w:szCs w:val="24"/>
              </w:rPr>
              <w:t>]</w:t>
            </w:r>
          </w:p>
        </w:tc>
      </w:tr>
      <w:tr w:rsidR="004E52EB" w:rsidRPr="009273C7" w:rsidTr="00E47C4B">
        <w:tc>
          <w:tcPr>
            <w:tcW w:w="4772" w:type="dxa"/>
          </w:tcPr>
          <w:p w:rsidR="004E52EB" w:rsidRPr="009273C7" w:rsidRDefault="004E52EB" w:rsidP="00BD2ED0">
            <w:pPr>
              <w:pStyle w:val="Title"/>
              <w:ind w:left="0"/>
              <w:jc w:val="left"/>
              <w:rPr>
                <w:b w:val="0"/>
                <w:bCs/>
                <w:i w:val="0"/>
                <w:szCs w:val="24"/>
              </w:rPr>
            </w:pPr>
            <w:r w:rsidRPr="009273C7">
              <w:rPr>
                <w:b w:val="0"/>
                <w:bCs/>
                <w:i w:val="0"/>
                <w:szCs w:val="24"/>
              </w:rPr>
              <w:t>201</w:t>
            </w:r>
            <w:r w:rsidR="00BD2ED0">
              <w:rPr>
                <w:b w:val="0"/>
                <w:bCs/>
                <w:i w:val="0"/>
                <w:szCs w:val="24"/>
              </w:rPr>
              <w:t>3</w:t>
            </w:r>
            <w:r w:rsidRPr="009273C7">
              <w:rPr>
                <w:b w:val="0"/>
                <w:bCs/>
                <w:i w:val="0"/>
                <w:szCs w:val="24"/>
              </w:rPr>
              <w:t xml:space="preserve"> Current Services</w:t>
            </w:r>
          </w:p>
        </w:tc>
        <w:tc>
          <w:tcPr>
            <w:tcW w:w="1001" w:type="dxa"/>
            <w:vAlign w:val="center"/>
          </w:tcPr>
          <w:p w:rsidR="004E52EB" w:rsidRPr="003414C5" w:rsidRDefault="00C100F0" w:rsidP="00166E51">
            <w:pPr>
              <w:pStyle w:val="Title"/>
              <w:ind w:left="0"/>
              <w:jc w:val="right"/>
              <w:rPr>
                <w:b w:val="0"/>
                <w:bCs/>
                <w:i w:val="0"/>
                <w:szCs w:val="24"/>
              </w:rPr>
            </w:pPr>
            <w:r w:rsidRPr="003414C5">
              <w:rPr>
                <w:b w:val="0"/>
                <w:bCs/>
                <w:i w:val="0"/>
                <w:szCs w:val="24"/>
              </w:rPr>
              <w:t>70</w:t>
            </w:r>
          </w:p>
        </w:tc>
        <w:tc>
          <w:tcPr>
            <w:tcW w:w="1187" w:type="dxa"/>
            <w:vAlign w:val="center"/>
          </w:tcPr>
          <w:p w:rsidR="004E52EB" w:rsidRPr="003414C5" w:rsidRDefault="00C100F0" w:rsidP="00166E51">
            <w:pPr>
              <w:pStyle w:val="Title"/>
              <w:ind w:left="0"/>
              <w:jc w:val="right"/>
              <w:rPr>
                <w:b w:val="0"/>
                <w:bCs/>
                <w:i w:val="0"/>
                <w:szCs w:val="24"/>
              </w:rPr>
            </w:pPr>
            <w:r w:rsidRPr="003414C5">
              <w:rPr>
                <w:b w:val="0"/>
                <w:bCs/>
                <w:i w:val="0"/>
                <w:szCs w:val="24"/>
              </w:rPr>
              <w:t>70</w:t>
            </w:r>
          </w:p>
        </w:tc>
        <w:tc>
          <w:tcPr>
            <w:tcW w:w="2616" w:type="dxa"/>
            <w:vAlign w:val="center"/>
          </w:tcPr>
          <w:p w:rsidR="004E52EB" w:rsidRPr="003414C5" w:rsidRDefault="00456370" w:rsidP="00A16CD5">
            <w:pPr>
              <w:pStyle w:val="Title"/>
              <w:ind w:left="0"/>
              <w:jc w:val="right"/>
              <w:rPr>
                <w:b w:val="0"/>
                <w:bCs/>
                <w:i w:val="0"/>
                <w:szCs w:val="24"/>
              </w:rPr>
            </w:pPr>
            <w:r>
              <w:rPr>
                <w:b w:val="0"/>
                <w:bCs/>
                <w:i w:val="0"/>
                <w:szCs w:val="24"/>
              </w:rPr>
              <w:t>[</w:t>
            </w:r>
            <w:r w:rsidR="00B250F4">
              <w:rPr>
                <w:b w:val="0"/>
                <w:bCs/>
                <w:i w:val="0"/>
                <w:szCs w:val="24"/>
              </w:rPr>
              <w:t>18,</w:t>
            </w:r>
            <w:r w:rsidR="00A16CD5">
              <w:rPr>
                <w:b w:val="0"/>
                <w:bCs/>
                <w:i w:val="0"/>
                <w:szCs w:val="24"/>
              </w:rPr>
              <w:t>782</w:t>
            </w:r>
            <w:r w:rsidR="00B250F4">
              <w:rPr>
                <w:b w:val="0"/>
                <w:bCs/>
                <w:i w:val="0"/>
                <w:szCs w:val="24"/>
              </w:rPr>
              <w:t>,000</w:t>
            </w:r>
            <w:r>
              <w:rPr>
                <w:b w:val="0"/>
                <w:bCs/>
                <w:i w:val="0"/>
                <w:szCs w:val="24"/>
              </w:rPr>
              <w:t>]</w:t>
            </w:r>
          </w:p>
        </w:tc>
      </w:tr>
      <w:tr w:rsidR="004E52EB" w:rsidRPr="009273C7" w:rsidTr="00E47C4B">
        <w:tc>
          <w:tcPr>
            <w:tcW w:w="4772" w:type="dxa"/>
          </w:tcPr>
          <w:p w:rsidR="004E52EB" w:rsidRPr="009273C7" w:rsidRDefault="004E52EB" w:rsidP="00BD2ED0">
            <w:pPr>
              <w:pStyle w:val="Title"/>
              <w:ind w:left="0"/>
              <w:jc w:val="left"/>
              <w:rPr>
                <w:b w:val="0"/>
                <w:bCs/>
                <w:i w:val="0"/>
                <w:szCs w:val="24"/>
              </w:rPr>
            </w:pPr>
            <w:r w:rsidRPr="009273C7">
              <w:rPr>
                <w:b w:val="0"/>
                <w:bCs/>
                <w:i w:val="0"/>
                <w:szCs w:val="24"/>
              </w:rPr>
              <w:t>201</w:t>
            </w:r>
            <w:r w:rsidR="00BD2ED0">
              <w:rPr>
                <w:b w:val="0"/>
                <w:bCs/>
                <w:i w:val="0"/>
                <w:szCs w:val="24"/>
              </w:rPr>
              <w:t>3</w:t>
            </w:r>
            <w:r w:rsidRPr="009273C7">
              <w:rPr>
                <w:b w:val="0"/>
                <w:bCs/>
                <w:i w:val="0"/>
                <w:szCs w:val="24"/>
              </w:rPr>
              <w:t xml:space="preserve"> Program Increases</w:t>
            </w:r>
          </w:p>
        </w:tc>
        <w:tc>
          <w:tcPr>
            <w:tcW w:w="1001" w:type="dxa"/>
            <w:vAlign w:val="center"/>
          </w:tcPr>
          <w:p w:rsidR="004E52EB" w:rsidRPr="003414C5" w:rsidRDefault="002A2920" w:rsidP="00C100F0">
            <w:pPr>
              <w:pStyle w:val="Title"/>
              <w:ind w:left="0"/>
              <w:jc w:val="right"/>
              <w:rPr>
                <w:b w:val="0"/>
                <w:bCs/>
                <w:i w:val="0"/>
                <w:szCs w:val="24"/>
              </w:rPr>
            </w:pPr>
            <w:r>
              <w:rPr>
                <w:b w:val="0"/>
                <w:bCs/>
                <w:i w:val="0"/>
                <w:szCs w:val="24"/>
              </w:rPr>
              <w:t>0</w:t>
            </w:r>
          </w:p>
        </w:tc>
        <w:tc>
          <w:tcPr>
            <w:tcW w:w="1187" w:type="dxa"/>
            <w:vAlign w:val="center"/>
          </w:tcPr>
          <w:p w:rsidR="004E52EB" w:rsidRPr="003414C5" w:rsidRDefault="002A2920" w:rsidP="00C100F0">
            <w:pPr>
              <w:pStyle w:val="Title"/>
              <w:ind w:left="0"/>
              <w:jc w:val="right"/>
              <w:rPr>
                <w:b w:val="0"/>
                <w:bCs/>
                <w:i w:val="0"/>
                <w:szCs w:val="24"/>
              </w:rPr>
            </w:pPr>
            <w:r>
              <w:rPr>
                <w:b w:val="0"/>
                <w:bCs/>
                <w:i w:val="0"/>
                <w:szCs w:val="24"/>
              </w:rPr>
              <w:t>0</w:t>
            </w:r>
          </w:p>
        </w:tc>
        <w:tc>
          <w:tcPr>
            <w:tcW w:w="2616" w:type="dxa"/>
            <w:vAlign w:val="center"/>
          </w:tcPr>
          <w:p w:rsidR="004E52EB" w:rsidRPr="003414C5" w:rsidRDefault="00B250F4" w:rsidP="00451CA0">
            <w:pPr>
              <w:pStyle w:val="Title"/>
              <w:ind w:left="0"/>
              <w:jc w:val="right"/>
              <w:rPr>
                <w:b w:val="0"/>
                <w:bCs/>
                <w:i w:val="0"/>
                <w:szCs w:val="24"/>
              </w:rPr>
            </w:pPr>
            <w:r>
              <w:rPr>
                <w:b w:val="0"/>
                <w:bCs/>
                <w:i w:val="0"/>
                <w:szCs w:val="24"/>
              </w:rPr>
              <w:t>0</w:t>
            </w:r>
          </w:p>
        </w:tc>
      </w:tr>
      <w:tr w:rsidR="004E52EB" w:rsidRPr="009273C7" w:rsidTr="00E47C4B">
        <w:trPr>
          <w:trHeight w:val="359"/>
        </w:trPr>
        <w:tc>
          <w:tcPr>
            <w:tcW w:w="4772" w:type="dxa"/>
          </w:tcPr>
          <w:p w:rsidR="004E52EB" w:rsidRPr="009273C7" w:rsidRDefault="004E52EB" w:rsidP="00BD2ED0">
            <w:pPr>
              <w:pStyle w:val="Title"/>
              <w:ind w:left="0"/>
              <w:jc w:val="left"/>
              <w:rPr>
                <w:b w:val="0"/>
                <w:bCs/>
                <w:i w:val="0"/>
                <w:szCs w:val="24"/>
              </w:rPr>
            </w:pPr>
            <w:r w:rsidRPr="009273C7">
              <w:rPr>
                <w:b w:val="0"/>
                <w:bCs/>
                <w:i w:val="0"/>
                <w:szCs w:val="24"/>
              </w:rPr>
              <w:t>201</w:t>
            </w:r>
            <w:r w:rsidR="00BD2ED0">
              <w:rPr>
                <w:b w:val="0"/>
                <w:bCs/>
                <w:i w:val="0"/>
                <w:szCs w:val="24"/>
              </w:rPr>
              <w:t>3</w:t>
            </w:r>
            <w:r w:rsidRPr="009273C7">
              <w:rPr>
                <w:b w:val="0"/>
                <w:bCs/>
                <w:i w:val="0"/>
                <w:szCs w:val="24"/>
              </w:rPr>
              <w:t xml:space="preserve"> Program Offsets</w:t>
            </w:r>
          </w:p>
        </w:tc>
        <w:tc>
          <w:tcPr>
            <w:tcW w:w="1001" w:type="dxa"/>
            <w:vAlign w:val="center"/>
          </w:tcPr>
          <w:p w:rsidR="004E52EB" w:rsidRPr="003414C5" w:rsidRDefault="004E52EB" w:rsidP="00166E51">
            <w:pPr>
              <w:pStyle w:val="Title"/>
              <w:ind w:left="0"/>
              <w:jc w:val="right"/>
              <w:rPr>
                <w:b w:val="0"/>
                <w:bCs/>
                <w:i w:val="0"/>
                <w:szCs w:val="24"/>
              </w:rPr>
            </w:pPr>
            <w:r w:rsidRPr="003414C5">
              <w:rPr>
                <w:b w:val="0"/>
                <w:bCs/>
                <w:i w:val="0"/>
                <w:szCs w:val="24"/>
              </w:rPr>
              <w:t>0</w:t>
            </w:r>
          </w:p>
        </w:tc>
        <w:tc>
          <w:tcPr>
            <w:tcW w:w="1187" w:type="dxa"/>
            <w:vAlign w:val="center"/>
          </w:tcPr>
          <w:p w:rsidR="004E52EB" w:rsidRPr="003414C5" w:rsidRDefault="004E52EB" w:rsidP="00166E51">
            <w:pPr>
              <w:pStyle w:val="Title"/>
              <w:ind w:left="0"/>
              <w:jc w:val="right"/>
              <w:rPr>
                <w:b w:val="0"/>
                <w:bCs/>
                <w:i w:val="0"/>
                <w:szCs w:val="24"/>
              </w:rPr>
            </w:pPr>
            <w:r w:rsidRPr="003414C5">
              <w:rPr>
                <w:b w:val="0"/>
                <w:bCs/>
                <w:i w:val="0"/>
                <w:szCs w:val="24"/>
              </w:rPr>
              <w:t>0</w:t>
            </w:r>
          </w:p>
        </w:tc>
        <w:tc>
          <w:tcPr>
            <w:tcW w:w="2616" w:type="dxa"/>
            <w:vAlign w:val="center"/>
          </w:tcPr>
          <w:p w:rsidR="004E52EB" w:rsidRPr="003414C5" w:rsidRDefault="00625A91" w:rsidP="00F8544D">
            <w:pPr>
              <w:pStyle w:val="Title"/>
              <w:spacing w:before="240"/>
              <w:ind w:left="0"/>
              <w:jc w:val="right"/>
              <w:rPr>
                <w:b w:val="0"/>
                <w:bCs/>
                <w:i w:val="0"/>
                <w:szCs w:val="24"/>
              </w:rPr>
            </w:pPr>
            <w:r>
              <w:rPr>
                <w:b w:val="0"/>
                <w:bCs/>
                <w:i w:val="0"/>
                <w:szCs w:val="24"/>
              </w:rPr>
              <w:t>0</w:t>
            </w:r>
          </w:p>
        </w:tc>
      </w:tr>
      <w:tr w:rsidR="004E52EB" w:rsidRPr="009273C7" w:rsidTr="00E47C4B">
        <w:tc>
          <w:tcPr>
            <w:tcW w:w="4772" w:type="dxa"/>
          </w:tcPr>
          <w:p w:rsidR="004E52EB" w:rsidRPr="009273C7" w:rsidRDefault="004E52EB" w:rsidP="00BD2ED0">
            <w:pPr>
              <w:pStyle w:val="Title"/>
              <w:ind w:left="0"/>
              <w:jc w:val="left"/>
              <w:rPr>
                <w:b w:val="0"/>
                <w:bCs/>
                <w:i w:val="0"/>
                <w:szCs w:val="24"/>
              </w:rPr>
            </w:pPr>
            <w:r w:rsidRPr="009273C7">
              <w:rPr>
                <w:b w:val="0"/>
                <w:bCs/>
                <w:i w:val="0"/>
                <w:szCs w:val="24"/>
              </w:rPr>
              <w:t>201</w:t>
            </w:r>
            <w:r w:rsidR="00BD2ED0">
              <w:rPr>
                <w:b w:val="0"/>
                <w:bCs/>
                <w:i w:val="0"/>
                <w:szCs w:val="24"/>
              </w:rPr>
              <w:t xml:space="preserve">3 </w:t>
            </w:r>
            <w:r w:rsidRPr="009273C7">
              <w:rPr>
                <w:b w:val="0"/>
                <w:bCs/>
                <w:i w:val="0"/>
                <w:szCs w:val="24"/>
              </w:rPr>
              <w:t>Request</w:t>
            </w:r>
          </w:p>
        </w:tc>
        <w:tc>
          <w:tcPr>
            <w:tcW w:w="1001" w:type="dxa"/>
            <w:vAlign w:val="center"/>
          </w:tcPr>
          <w:p w:rsidR="004E52EB" w:rsidRPr="003414C5" w:rsidRDefault="0019429A" w:rsidP="002A2920">
            <w:pPr>
              <w:pStyle w:val="Title"/>
              <w:ind w:left="0"/>
              <w:jc w:val="right"/>
              <w:rPr>
                <w:b w:val="0"/>
                <w:bCs/>
                <w:i w:val="0"/>
                <w:szCs w:val="24"/>
              </w:rPr>
            </w:pPr>
            <w:r>
              <w:rPr>
                <w:b w:val="0"/>
                <w:bCs/>
                <w:i w:val="0"/>
                <w:szCs w:val="24"/>
              </w:rPr>
              <w:t>7</w:t>
            </w:r>
            <w:r w:rsidR="002A2920">
              <w:rPr>
                <w:b w:val="0"/>
                <w:bCs/>
                <w:i w:val="0"/>
                <w:szCs w:val="24"/>
              </w:rPr>
              <w:t>0</w:t>
            </w:r>
          </w:p>
        </w:tc>
        <w:tc>
          <w:tcPr>
            <w:tcW w:w="1187" w:type="dxa"/>
            <w:vAlign w:val="center"/>
          </w:tcPr>
          <w:p w:rsidR="004E52EB" w:rsidRPr="003414C5" w:rsidRDefault="0019429A" w:rsidP="002A2920">
            <w:pPr>
              <w:pStyle w:val="Title"/>
              <w:ind w:left="0"/>
              <w:jc w:val="right"/>
              <w:rPr>
                <w:b w:val="0"/>
                <w:bCs/>
                <w:i w:val="0"/>
                <w:szCs w:val="24"/>
              </w:rPr>
            </w:pPr>
            <w:r>
              <w:rPr>
                <w:b w:val="0"/>
                <w:bCs/>
                <w:i w:val="0"/>
                <w:szCs w:val="24"/>
              </w:rPr>
              <w:t>7</w:t>
            </w:r>
            <w:r w:rsidR="002A2920">
              <w:rPr>
                <w:b w:val="0"/>
                <w:bCs/>
                <w:i w:val="0"/>
                <w:szCs w:val="24"/>
              </w:rPr>
              <w:t>0</w:t>
            </w:r>
          </w:p>
        </w:tc>
        <w:tc>
          <w:tcPr>
            <w:tcW w:w="2616" w:type="dxa"/>
            <w:vAlign w:val="center"/>
          </w:tcPr>
          <w:p w:rsidR="004E52EB" w:rsidRPr="003414C5" w:rsidRDefault="00A16CD5" w:rsidP="00A16CD5">
            <w:pPr>
              <w:pStyle w:val="Title"/>
              <w:ind w:left="0"/>
              <w:jc w:val="right"/>
              <w:rPr>
                <w:b w:val="0"/>
                <w:bCs/>
                <w:i w:val="0"/>
                <w:szCs w:val="24"/>
              </w:rPr>
            </w:pPr>
            <w:r>
              <w:rPr>
                <w:b w:val="0"/>
                <w:bCs/>
                <w:i w:val="0"/>
                <w:szCs w:val="24"/>
              </w:rPr>
              <w:t>[</w:t>
            </w:r>
            <w:r w:rsidR="00B250F4">
              <w:rPr>
                <w:b w:val="0"/>
                <w:bCs/>
                <w:i w:val="0"/>
                <w:szCs w:val="24"/>
              </w:rPr>
              <w:t>18,</w:t>
            </w:r>
            <w:r>
              <w:rPr>
                <w:b w:val="0"/>
                <w:bCs/>
                <w:i w:val="0"/>
                <w:szCs w:val="24"/>
              </w:rPr>
              <w:t>782</w:t>
            </w:r>
            <w:r w:rsidR="0019429A">
              <w:rPr>
                <w:b w:val="0"/>
                <w:bCs/>
                <w:i w:val="0"/>
                <w:szCs w:val="24"/>
              </w:rPr>
              <w:t>,</w:t>
            </w:r>
            <w:r w:rsidR="00C100F0" w:rsidRPr="003414C5">
              <w:rPr>
                <w:b w:val="0"/>
                <w:bCs/>
                <w:i w:val="0"/>
                <w:szCs w:val="24"/>
              </w:rPr>
              <w:t>000</w:t>
            </w:r>
            <w:r>
              <w:rPr>
                <w:b w:val="0"/>
                <w:bCs/>
                <w:i w:val="0"/>
                <w:szCs w:val="24"/>
              </w:rPr>
              <w:t>]</w:t>
            </w:r>
          </w:p>
        </w:tc>
      </w:tr>
      <w:tr w:rsidR="004E52EB" w:rsidRPr="009273C7" w:rsidTr="00E47C4B">
        <w:tc>
          <w:tcPr>
            <w:tcW w:w="4772" w:type="dxa"/>
            <w:shd w:val="clear" w:color="auto" w:fill="E6E6E6"/>
          </w:tcPr>
          <w:p w:rsidR="004E52EB" w:rsidRPr="009273C7" w:rsidRDefault="004E52EB" w:rsidP="00BD2ED0">
            <w:pPr>
              <w:pStyle w:val="Title"/>
              <w:ind w:left="0"/>
              <w:jc w:val="left"/>
              <w:rPr>
                <w:b w:val="0"/>
                <w:bCs/>
                <w:i w:val="0"/>
                <w:szCs w:val="24"/>
              </w:rPr>
            </w:pPr>
            <w:r w:rsidRPr="009273C7">
              <w:rPr>
                <w:i w:val="0"/>
                <w:szCs w:val="24"/>
              </w:rPr>
              <w:t>Total Change 201</w:t>
            </w:r>
            <w:r w:rsidR="00BD2ED0">
              <w:rPr>
                <w:i w:val="0"/>
                <w:szCs w:val="24"/>
              </w:rPr>
              <w:t>2</w:t>
            </w:r>
            <w:r w:rsidRPr="009273C7">
              <w:rPr>
                <w:i w:val="0"/>
                <w:szCs w:val="24"/>
              </w:rPr>
              <w:t>-201</w:t>
            </w:r>
            <w:r w:rsidR="00BD2ED0">
              <w:rPr>
                <w:i w:val="0"/>
                <w:szCs w:val="24"/>
              </w:rPr>
              <w:t>3</w:t>
            </w:r>
          </w:p>
        </w:tc>
        <w:tc>
          <w:tcPr>
            <w:tcW w:w="1001" w:type="dxa"/>
            <w:shd w:val="clear" w:color="auto" w:fill="E6E6E6"/>
            <w:vAlign w:val="center"/>
          </w:tcPr>
          <w:p w:rsidR="004E52EB" w:rsidRPr="009273C7" w:rsidRDefault="002A2920" w:rsidP="00C100F0">
            <w:pPr>
              <w:pStyle w:val="Title"/>
              <w:ind w:left="0"/>
              <w:jc w:val="right"/>
              <w:rPr>
                <w:bCs/>
                <w:i w:val="0"/>
                <w:szCs w:val="24"/>
              </w:rPr>
            </w:pPr>
            <w:r>
              <w:rPr>
                <w:bCs/>
                <w:i w:val="0"/>
                <w:szCs w:val="24"/>
              </w:rPr>
              <w:t>0</w:t>
            </w:r>
          </w:p>
        </w:tc>
        <w:tc>
          <w:tcPr>
            <w:tcW w:w="1187" w:type="dxa"/>
            <w:shd w:val="clear" w:color="auto" w:fill="E6E6E6"/>
            <w:vAlign w:val="center"/>
          </w:tcPr>
          <w:p w:rsidR="004E52EB" w:rsidRPr="009273C7" w:rsidRDefault="002A2920" w:rsidP="00C100F0">
            <w:pPr>
              <w:pStyle w:val="Title"/>
              <w:ind w:left="0"/>
              <w:jc w:val="right"/>
              <w:rPr>
                <w:bCs/>
                <w:i w:val="0"/>
                <w:szCs w:val="24"/>
              </w:rPr>
            </w:pPr>
            <w:r>
              <w:rPr>
                <w:bCs/>
                <w:i w:val="0"/>
                <w:szCs w:val="24"/>
              </w:rPr>
              <w:t>0</w:t>
            </w:r>
          </w:p>
        </w:tc>
        <w:tc>
          <w:tcPr>
            <w:tcW w:w="2616" w:type="dxa"/>
            <w:shd w:val="clear" w:color="auto" w:fill="E6E6E6"/>
            <w:vAlign w:val="center"/>
          </w:tcPr>
          <w:p w:rsidR="004E52EB" w:rsidRPr="00BD2ED0" w:rsidRDefault="00A16CD5" w:rsidP="00A16CD5">
            <w:pPr>
              <w:pStyle w:val="Title"/>
              <w:ind w:left="0"/>
              <w:jc w:val="right"/>
              <w:rPr>
                <w:bCs/>
                <w:i w:val="0"/>
                <w:szCs w:val="24"/>
                <w:highlight w:val="yellow"/>
              </w:rPr>
            </w:pPr>
            <w:r>
              <w:rPr>
                <w:bCs/>
                <w:i w:val="0"/>
                <w:szCs w:val="24"/>
              </w:rPr>
              <w:t>[596</w:t>
            </w:r>
            <w:r w:rsidR="00C100F0" w:rsidRPr="003414C5">
              <w:rPr>
                <w:bCs/>
                <w:i w:val="0"/>
                <w:szCs w:val="24"/>
              </w:rPr>
              <w:t>,000</w:t>
            </w:r>
            <w:r>
              <w:rPr>
                <w:bCs/>
                <w:i w:val="0"/>
                <w:szCs w:val="24"/>
              </w:rPr>
              <w:t>]</w:t>
            </w:r>
          </w:p>
        </w:tc>
      </w:tr>
    </w:tbl>
    <w:bookmarkEnd w:id="3"/>
    <w:p w:rsidR="004E52EB" w:rsidRPr="00B17EDD" w:rsidRDefault="00B17EDD" w:rsidP="004E52EB">
      <w:pPr>
        <w:rPr>
          <w:sz w:val="18"/>
          <w:szCs w:val="18"/>
        </w:rPr>
      </w:pPr>
      <w:r w:rsidRPr="00B17EDD">
        <w:rPr>
          <w:b/>
          <w:i/>
          <w:sz w:val="18"/>
          <w:szCs w:val="18"/>
        </w:rPr>
        <w:t>In FY 2012, O</w:t>
      </w:r>
      <w:r>
        <w:rPr>
          <w:b/>
          <w:i/>
          <w:sz w:val="18"/>
          <w:szCs w:val="18"/>
        </w:rPr>
        <w:t>VW</w:t>
      </w:r>
      <w:r w:rsidRPr="00B17EDD">
        <w:rPr>
          <w:b/>
          <w:i/>
          <w:sz w:val="18"/>
          <w:szCs w:val="18"/>
        </w:rPr>
        <w:t>’s management and administration (M&amp;A) expenses are not expressly provided for in the Appropriations Act, but are to be supported with program funding and is therefore a non-add.  The FY 2013 Request seeks this same structure.</w:t>
      </w:r>
    </w:p>
    <w:p w:rsidR="0093539F" w:rsidRDefault="0093539F" w:rsidP="004E52EB"/>
    <w:p w:rsidR="00612F80" w:rsidRPr="00E22DA7" w:rsidRDefault="00612F80" w:rsidP="002D56F5">
      <w:pPr>
        <w:pStyle w:val="xl27"/>
        <w:ind w:right="-540"/>
        <w:rPr>
          <w:rFonts w:ascii="Times New Roman" w:hAnsi="Times New Roman"/>
          <w:szCs w:val="24"/>
        </w:rPr>
      </w:pPr>
      <w:r w:rsidRPr="00E22DA7">
        <w:rPr>
          <w:rFonts w:ascii="Times New Roman" w:hAnsi="Times New Roman"/>
          <w:szCs w:val="24"/>
        </w:rPr>
        <w:t>1.  Grant Program Descriptions</w:t>
      </w:r>
    </w:p>
    <w:p w:rsidR="00612F80" w:rsidRPr="00E22DA7" w:rsidRDefault="00612F80" w:rsidP="002D56F5">
      <w:pPr>
        <w:ind w:right="-540"/>
      </w:pPr>
      <w:r w:rsidRPr="00E22DA7">
        <w:t>OVW currently administers t</w:t>
      </w:r>
      <w:r w:rsidR="004F605B">
        <w:t>hree</w:t>
      </w:r>
      <w:r w:rsidRPr="00E22DA7">
        <w:t xml:space="preserve"> formula and </w:t>
      </w:r>
      <w:r w:rsidR="004F605B">
        <w:t>eighteen</w:t>
      </w:r>
      <w:r w:rsidRPr="00E22DA7">
        <w:t xml:space="preserve"> discretionary</w:t>
      </w:r>
      <w:r w:rsidRPr="00E22DA7">
        <w:softHyphen/>
        <w:t xml:space="preserve"> grant programs authorized by VAWA 1994 and subsequent legislation.  These grants are designed to develop the Nation’s capacity to reduce domestic violence, dating violence, sexual assault, and stalking by strengthening services to victims and holding offenders accountable for their actions.</w:t>
      </w:r>
    </w:p>
    <w:p w:rsidR="00612F80" w:rsidRPr="00E22DA7" w:rsidRDefault="00612F80" w:rsidP="002D56F5">
      <w:pPr>
        <w:ind w:right="-540"/>
      </w:pPr>
    </w:p>
    <w:p w:rsidR="00612F80" w:rsidRPr="00E22DA7" w:rsidRDefault="00612F80" w:rsidP="00B76834">
      <w:pPr>
        <w:ind w:right="-1080"/>
        <w:rPr>
          <w:b/>
        </w:rPr>
      </w:pPr>
      <w:r w:rsidRPr="00E22DA7">
        <w:tab/>
      </w:r>
      <w:r w:rsidRPr="00E22DA7">
        <w:rPr>
          <w:b/>
        </w:rPr>
        <w:t>a.  Formula Grant Programs</w:t>
      </w:r>
    </w:p>
    <w:p w:rsidR="00612F80" w:rsidRPr="00E22DA7" w:rsidRDefault="00612F80" w:rsidP="00B76834">
      <w:pPr>
        <w:ind w:right="-1080"/>
        <w:rPr>
          <w:b/>
        </w:rPr>
      </w:pPr>
    </w:p>
    <w:p w:rsidR="00612F80" w:rsidRPr="00C66720" w:rsidRDefault="00C66720" w:rsidP="00C66720">
      <w:pPr>
        <w:ind w:left="1440" w:right="-1080" w:hanging="720"/>
        <w:rPr>
          <w:b/>
        </w:rPr>
      </w:pPr>
      <w:r w:rsidRPr="00C66720">
        <w:rPr>
          <w:b/>
        </w:rPr>
        <w:t>(1</w:t>
      </w:r>
      <w:r>
        <w:rPr>
          <w:b/>
        </w:rPr>
        <w:t>)</w:t>
      </w:r>
      <w:r>
        <w:rPr>
          <w:b/>
        </w:rPr>
        <w:tab/>
      </w:r>
      <w:r w:rsidR="00612F80" w:rsidRPr="00C66720">
        <w:rPr>
          <w:b/>
        </w:rPr>
        <w:t xml:space="preserve">Service-Training-Officers-Prosecutors Violence Against Women Formula Grant </w:t>
      </w:r>
      <w:r>
        <w:rPr>
          <w:b/>
        </w:rPr>
        <w:t>Pr</w:t>
      </w:r>
      <w:r w:rsidR="00612F80" w:rsidRPr="00C66720">
        <w:rPr>
          <w:b/>
        </w:rPr>
        <w:t xml:space="preserve">ogram (STOP Program) – </w:t>
      </w:r>
      <w:r w:rsidR="00106956">
        <w:rPr>
          <w:b/>
        </w:rPr>
        <w:t>$</w:t>
      </w:r>
      <w:r w:rsidR="00A270A9">
        <w:rPr>
          <w:b/>
        </w:rPr>
        <w:t>189,000</w:t>
      </w:r>
      <w:r w:rsidR="00106956">
        <w:rPr>
          <w:b/>
        </w:rPr>
        <w:t>,000</w:t>
      </w:r>
    </w:p>
    <w:p w:rsidR="00612F80" w:rsidRPr="00E22DA7" w:rsidRDefault="00612F80" w:rsidP="00B76834">
      <w:pPr>
        <w:ind w:right="-1080"/>
      </w:pPr>
    </w:p>
    <w:p w:rsidR="00612F80" w:rsidRPr="00E22DA7" w:rsidRDefault="001F32CB" w:rsidP="00B76834">
      <w:pPr>
        <w:ind w:right="-1080"/>
      </w:pPr>
      <w:r>
        <w:t xml:space="preserve">For the 2013 Budget request, </w:t>
      </w:r>
      <w:r w:rsidR="00A270A9">
        <w:t xml:space="preserve">$44,500,000 is requested </w:t>
      </w:r>
      <w:r w:rsidR="009C595D">
        <w:t xml:space="preserve">within the Violence </w:t>
      </w:r>
      <w:proofErr w:type="gramStart"/>
      <w:r w:rsidR="009C595D">
        <w:t>Against</w:t>
      </w:r>
      <w:proofErr w:type="gramEnd"/>
      <w:r w:rsidR="009C595D">
        <w:t xml:space="preserve"> Women Prevention and Prosecution Programs appropriation </w:t>
      </w:r>
      <w:r w:rsidR="00A270A9">
        <w:t>and $144,500,000 is requested under the Crime Victims Fund</w:t>
      </w:r>
      <w:r w:rsidR="00D37378">
        <w:t xml:space="preserve"> for transfer to OVW</w:t>
      </w:r>
      <w:r w:rsidR="00A270A9">
        <w:t xml:space="preserve">. </w:t>
      </w:r>
      <w:r w:rsidR="00612F80" w:rsidRPr="00E22DA7">
        <w:t>The STOP Program was initially authorized by VAWA</w:t>
      </w:r>
      <w:r w:rsidR="00612F80" w:rsidRPr="00E22DA7">
        <w:rPr>
          <w:i/>
        </w:rPr>
        <w:t xml:space="preserve"> </w:t>
      </w:r>
      <w:r w:rsidR="00612F80" w:rsidRPr="00E22DA7">
        <w:t>and was reauthorized and amended by the Violence Against Women Acts of 2000 and 2005 (VAWA 2000 and VAWA 2005).  The STOP Program promotes a coordinated, multidisciplinary approach to enhancing advocacy and improving the criminal justice system's response to violent crimes against women.  It encourages the development and improvement of effective law enforcement and prosecution strategies to address violent crimes against women and the development and improvement of advocacy and services in cases involving violent crimes against women.</w:t>
      </w:r>
    </w:p>
    <w:p w:rsidR="00612F80" w:rsidRPr="00E22DA7" w:rsidRDefault="00612F80" w:rsidP="00B76834">
      <w:pPr>
        <w:pStyle w:val="00Bodytext"/>
        <w:tabs>
          <w:tab w:val="left" w:pos="360"/>
        </w:tabs>
        <w:spacing w:after="0"/>
        <w:ind w:right="-1080"/>
        <w:rPr>
          <w:rFonts w:ascii="Times New Roman" w:hAnsi="Times New Roman"/>
          <w:sz w:val="24"/>
          <w:szCs w:val="24"/>
        </w:rPr>
      </w:pPr>
    </w:p>
    <w:p w:rsidR="00612F80" w:rsidRPr="00E22DA7" w:rsidRDefault="00612F80" w:rsidP="00B76834">
      <w:pPr>
        <w:ind w:right="-1080"/>
        <w:rPr>
          <w:b/>
        </w:rPr>
      </w:pPr>
      <w:r w:rsidRPr="00E22DA7">
        <w:lastRenderedPageBreak/>
        <w:t>By statute, each State receives a base amount of $600,000.  Remaining funds are awarded to States based on population, as determined by United States Bureau of the Census data.  By statute, Indian tribal populations are not included in the population count.</w:t>
      </w:r>
    </w:p>
    <w:p w:rsidR="00612F80" w:rsidRPr="00E22DA7" w:rsidRDefault="00612F80" w:rsidP="00B76834">
      <w:pPr>
        <w:pStyle w:val="00Bodytext"/>
        <w:tabs>
          <w:tab w:val="left" w:pos="360"/>
        </w:tabs>
        <w:spacing w:after="0"/>
        <w:ind w:right="-1080"/>
        <w:rPr>
          <w:rFonts w:ascii="Times New Roman" w:hAnsi="Times New Roman"/>
          <w:sz w:val="24"/>
          <w:szCs w:val="24"/>
        </w:rPr>
      </w:pPr>
    </w:p>
    <w:p w:rsidR="00612F80" w:rsidRPr="00C66720" w:rsidRDefault="00C66720" w:rsidP="00C66720">
      <w:pPr>
        <w:ind w:right="-1080" w:firstLine="720"/>
        <w:rPr>
          <w:b/>
        </w:rPr>
      </w:pPr>
      <w:r>
        <w:rPr>
          <w:b/>
        </w:rPr>
        <w:t>(2)</w:t>
      </w:r>
      <w:r>
        <w:rPr>
          <w:b/>
        </w:rPr>
        <w:tab/>
      </w:r>
      <w:r w:rsidR="00612F80" w:rsidRPr="00C66720">
        <w:rPr>
          <w:b/>
        </w:rPr>
        <w:t xml:space="preserve">Sexual Assault Services Program (SASP) – </w:t>
      </w:r>
      <w:r w:rsidR="00E02460">
        <w:rPr>
          <w:b/>
        </w:rPr>
        <w:t>$2</w:t>
      </w:r>
      <w:r w:rsidR="001F32CB">
        <w:rPr>
          <w:b/>
        </w:rPr>
        <w:t>3</w:t>
      </w:r>
      <w:r w:rsidR="00E02460">
        <w:rPr>
          <w:b/>
        </w:rPr>
        <w:t>,000,000</w:t>
      </w:r>
    </w:p>
    <w:p w:rsidR="00612F80" w:rsidRPr="00E22DA7" w:rsidRDefault="00612F80" w:rsidP="00B76834">
      <w:pPr>
        <w:ind w:right="-1080"/>
      </w:pPr>
    </w:p>
    <w:p w:rsidR="00612F80" w:rsidRPr="00E22DA7" w:rsidRDefault="00612F80" w:rsidP="00B76834">
      <w:pPr>
        <w:ind w:right="-1080"/>
      </w:pPr>
      <w:r w:rsidRPr="00E22DA7">
        <w:t xml:space="preserve">SASP was authorized by VAWA 2005 and is the first federal funding stream solely dedicated to the provision of direct intervention and related assistance for victims of sexual assault.  SASP encompasses five different funding streams for States and territories, tribes, State sexual assault coalitions, tribal coalitions, and culturally specific organizations.  Overall, the purpose of SASP is to provide intervention, advocacy, accompaniment, support services, and related assistance for adult, youth, and child victims of sexual assault, family and household members of victims, and those collaterally affected by the sexual assault. </w:t>
      </w:r>
    </w:p>
    <w:p w:rsidR="00612F80" w:rsidRPr="00E22DA7" w:rsidRDefault="00612F80" w:rsidP="00B76834">
      <w:pPr>
        <w:ind w:right="-1080"/>
      </w:pPr>
    </w:p>
    <w:p w:rsidR="00612F80" w:rsidRPr="00E22DA7" w:rsidRDefault="00612F80" w:rsidP="00B76834">
      <w:pPr>
        <w:ind w:right="-1080"/>
      </w:pPr>
      <w:r w:rsidRPr="00E22DA7">
        <w:t>SASP supports efforts to help survivors heal from sexual assault trauma through direct intervention and related assistance from social service organizations such as rape crisis centers through 24-hour sexual assault hotlines, crisis intervention, and medical and criminal justice accompaniment.  Sixty-five percent of SASP appropriated funds are awarded to States and territories through a population-based formula.  This SASP Formula Grant Program supports services for sexual assault survivors through the establishment, maintenance, and expansion of rape crisis centers and other programs and projects.</w:t>
      </w:r>
    </w:p>
    <w:p w:rsidR="00612F80" w:rsidRPr="00E22DA7" w:rsidRDefault="00612F80" w:rsidP="00B76834">
      <w:pPr>
        <w:ind w:right="-1080"/>
      </w:pPr>
    </w:p>
    <w:p w:rsidR="00612F80" w:rsidRDefault="00612F80" w:rsidP="00B76834">
      <w:pPr>
        <w:ind w:right="-1080"/>
      </w:pPr>
      <w:r w:rsidRPr="00E22DA7">
        <w:t>The first funding for this program was made available for FY 2008 when $9.4 million was appropriated to fund projects that serve victims of sexual assault.  The first awards under SASP, including the SASP Formula Program and the SASP Culturally Specific Program (discussed below) were made in FY 2009.</w:t>
      </w:r>
    </w:p>
    <w:p w:rsidR="00C66720" w:rsidRDefault="00C66720" w:rsidP="00B76834">
      <w:pPr>
        <w:ind w:right="-1080"/>
      </w:pPr>
    </w:p>
    <w:p w:rsidR="004810BE" w:rsidRDefault="004810BE" w:rsidP="004810BE">
      <w:pPr>
        <w:tabs>
          <w:tab w:val="left" w:pos="0"/>
        </w:tabs>
        <w:autoSpaceDE w:val="0"/>
        <w:autoSpaceDN w:val="0"/>
        <w:adjustRightInd w:val="0"/>
        <w:ind w:right="-1080"/>
        <w:rPr>
          <w:b/>
          <w:bCs/>
        </w:rPr>
      </w:pPr>
      <w:r>
        <w:rPr>
          <w:b/>
          <w:bCs/>
        </w:rPr>
        <w:tab/>
        <w:t>(3)</w:t>
      </w:r>
      <w:r>
        <w:rPr>
          <w:b/>
          <w:bCs/>
        </w:rPr>
        <w:tab/>
      </w:r>
      <w:r w:rsidR="00C66720" w:rsidRPr="00C66720">
        <w:rPr>
          <w:b/>
          <w:bCs/>
        </w:rPr>
        <w:t>Grants to State Sexual Assault and Domestic Violence Coalitions Program (State</w:t>
      </w:r>
    </w:p>
    <w:p w:rsidR="00C66720" w:rsidRPr="00C66720" w:rsidRDefault="004810BE" w:rsidP="004810BE">
      <w:pPr>
        <w:tabs>
          <w:tab w:val="left" w:pos="0"/>
        </w:tabs>
        <w:autoSpaceDE w:val="0"/>
        <w:autoSpaceDN w:val="0"/>
        <w:adjustRightInd w:val="0"/>
        <w:ind w:right="-1080"/>
        <w:rPr>
          <w:b/>
          <w:bCs/>
        </w:rPr>
      </w:pPr>
      <w:r>
        <w:rPr>
          <w:b/>
          <w:bCs/>
        </w:rPr>
        <w:tab/>
      </w:r>
      <w:r>
        <w:rPr>
          <w:b/>
          <w:bCs/>
        </w:rPr>
        <w:tab/>
      </w:r>
      <w:r w:rsidR="00C66720" w:rsidRPr="00C66720">
        <w:rPr>
          <w:b/>
          <w:bCs/>
        </w:rPr>
        <w:t>Coalitions Program) – funded by set-aside</w:t>
      </w:r>
    </w:p>
    <w:p w:rsidR="00C66720" w:rsidRPr="00E22DA7" w:rsidRDefault="00C66720" w:rsidP="00C66720">
      <w:pPr>
        <w:tabs>
          <w:tab w:val="left" w:pos="360"/>
          <w:tab w:val="left" w:pos="3420"/>
        </w:tabs>
        <w:autoSpaceDE w:val="0"/>
        <w:autoSpaceDN w:val="0"/>
        <w:adjustRightInd w:val="0"/>
        <w:rPr>
          <w:b/>
          <w:color w:val="000000"/>
        </w:rPr>
      </w:pPr>
    </w:p>
    <w:p w:rsidR="00C66720" w:rsidRPr="00E22DA7" w:rsidRDefault="00C66720" w:rsidP="00C66720">
      <w:pPr>
        <w:tabs>
          <w:tab w:val="left" w:pos="360"/>
          <w:tab w:val="left" w:pos="3420"/>
        </w:tabs>
        <w:autoSpaceDE w:val="0"/>
        <w:autoSpaceDN w:val="0"/>
        <w:adjustRightInd w:val="0"/>
        <w:ind w:right="-540"/>
        <w:rPr>
          <w:color w:val="000000"/>
        </w:rPr>
      </w:pPr>
      <w:r w:rsidRPr="00E22DA7">
        <w:rPr>
          <w:color w:val="000000"/>
        </w:rPr>
        <w:t xml:space="preserve">In VAWA 2000, Congress authorized grants to State sexual assault and domestic violence coalitions. The State Coalitions Program provides federal financial assistance to State coalitions to support the coordination of State victim services activities, and collaboration and coordination with Federal, State, and local entities engaged in violence against women activities.  The program is funded by a statutory set-aside from the STOP Program.  The SASP State Coalitions funding stream </w:t>
      </w:r>
      <w:r w:rsidRPr="00E22DA7">
        <w:t xml:space="preserve">also is </w:t>
      </w:r>
      <w:r w:rsidRPr="00E22DA7">
        <w:rPr>
          <w:color w:val="000000"/>
        </w:rPr>
        <w:t>administered through this Program.</w:t>
      </w:r>
      <w:r w:rsidRPr="00E22DA7">
        <w:rPr>
          <w:color w:val="000000"/>
        </w:rPr>
        <w:tab/>
      </w:r>
    </w:p>
    <w:p w:rsidR="00C66720" w:rsidRPr="00E22DA7" w:rsidRDefault="00C66720" w:rsidP="00C66720">
      <w:pPr>
        <w:tabs>
          <w:tab w:val="left" w:pos="360"/>
          <w:tab w:val="left" w:pos="3420"/>
        </w:tabs>
        <w:autoSpaceDE w:val="0"/>
        <w:autoSpaceDN w:val="0"/>
        <w:adjustRightInd w:val="0"/>
        <w:rPr>
          <w:color w:val="000000"/>
        </w:rPr>
      </w:pPr>
    </w:p>
    <w:p w:rsidR="00C66720" w:rsidRPr="00E22DA7" w:rsidRDefault="00C66720" w:rsidP="00C66720">
      <w:pPr>
        <w:tabs>
          <w:tab w:val="left" w:pos="360"/>
          <w:tab w:val="left" w:pos="3420"/>
        </w:tabs>
        <w:autoSpaceDE w:val="0"/>
        <w:autoSpaceDN w:val="0"/>
        <w:adjustRightInd w:val="0"/>
        <w:ind w:right="-540"/>
        <w:rPr>
          <w:color w:val="000000"/>
        </w:rPr>
      </w:pPr>
      <w:r w:rsidRPr="00E22DA7">
        <w:rPr>
          <w:color w:val="000000"/>
        </w:rPr>
        <w:t>Statewide sexual assault coalitions provide direct support to member rape crisis centers through funding, training and technical assistance, public awareness, and public policy advocacy. Statewide domestic violence coalitions provide comparable support to member domestic violence shelters and service providers.</w:t>
      </w:r>
    </w:p>
    <w:p w:rsidR="00612F80" w:rsidRDefault="00612F80" w:rsidP="00B76834">
      <w:pPr>
        <w:ind w:right="-1080"/>
        <w:rPr>
          <w:color w:val="000000"/>
        </w:rPr>
      </w:pPr>
    </w:p>
    <w:p w:rsidR="00612F80" w:rsidRPr="00E22DA7" w:rsidRDefault="00612F80" w:rsidP="00B76834">
      <w:pPr>
        <w:ind w:right="-1080"/>
        <w:rPr>
          <w:b/>
          <w:color w:val="000000"/>
        </w:rPr>
      </w:pPr>
      <w:r w:rsidRPr="00E22DA7">
        <w:rPr>
          <w:color w:val="000000"/>
        </w:rPr>
        <w:tab/>
      </w:r>
      <w:r w:rsidRPr="00E22DA7">
        <w:rPr>
          <w:b/>
          <w:color w:val="000000"/>
        </w:rPr>
        <w:t>b.  Discretionary Grant Programs</w:t>
      </w:r>
    </w:p>
    <w:p w:rsidR="00612F80" w:rsidRPr="00E22DA7" w:rsidRDefault="00612F80" w:rsidP="00B76834">
      <w:pPr>
        <w:ind w:right="-1080"/>
        <w:rPr>
          <w:b/>
          <w:color w:val="000000"/>
        </w:rPr>
      </w:pPr>
    </w:p>
    <w:p w:rsidR="00612F80" w:rsidRPr="00E22DA7" w:rsidRDefault="00612F80" w:rsidP="00B76834">
      <w:pPr>
        <w:tabs>
          <w:tab w:val="left" w:pos="1440"/>
        </w:tabs>
        <w:ind w:left="1440" w:right="-1080" w:hanging="720"/>
      </w:pPr>
      <w:r w:rsidRPr="00E22DA7">
        <w:rPr>
          <w:b/>
        </w:rPr>
        <w:t>(1)</w:t>
      </w:r>
      <w:r w:rsidRPr="00E22DA7">
        <w:rPr>
          <w:b/>
        </w:rPr>
        <w:tab/>
        <w:t xml:space="preserve">Grants to Encourage Arrest Policies and Enforcement of Protection Orders Program (Arrest Program) – </w:t>
      </w:r>
      <w:r w:rsidR="00E02460">
        <w:rPr>
          <w:b/>
        </w:rPr>
        <w:t>$</w:t>
      </w:r>
      <w:r w:rsidR="001F32CB">
        <w:rPr>
          <w:b/>
        </w:rPr>
        <w:t>50</w:t>
      </w:r>
      <w:r w:rsidR="00E02460">
        <w:rPr>
          <w:b/>
        </w:rPr>
        <w:t>,</w:t>
      </w:r>
      <w:r w:rsidR="001F32CB">
        <w:rPr>
          <w:b/>
        </w:rPr>
        <w:t>0</w:t>
      </w:r>
      <w:r w:rsidR="00E02460">
        <w:rPr>
          <w:b/>
        </w:rPr>
        <w:t>00,000</w:t>
      </w:r>
    </w:p>
    <w:p w:rsidR="00612F80" w:rsidRPr="00E22DA7" w:rsidRDefault="00612F80" w:rsidP="00B76834">
      <w:pPr>
        <w:ind w:right="-1080"/>
      </w:pPr>
    </w:p>
    <w:p w:rsidR="00612F80" w:rsidRPr="00E22DA7" w:rsidRDefault="00612F80" w:rsidP="00B76834">
      <w:pPr>
        <w:pStyle w:val="00Bodytext"/>
        <w:tabs>
          <w:tab w:val="left" w:pos="360"/>
          <w:tab w:val="left" w:pos="3420"/>
        </w:tabs>
        <w:spacing w:after="0"/>
        <w:ind w:right="-1080"/>
        <w:rPr>
          <w:rFonts w:ascii="Times New Roman" w:hAnsi="Times New Roman"/>
          <w:sz w:val="24"/>
          <w:szCs w:val="24"/>
        </w:rPr>
      </w:pPr>
      <w:r w:rsidRPr="00E22DA7">
        <w:rPr>
          <w:rFonts w:ascii="Times New Roman" w:hAnsi="Times New Roman"/>
          <w:sz w:val="24"/>
          <w:szCs w:val="24"/>
        </w:rPr>
        <w:t>The Arrest Program</w:t>
      </w:r>
      <w:r w:rsidRPr="00E22DA7">
        <w:rPr>
          <w:rFonts w:ascii="Times New Roman" w:hAnsi="Times New Roman"/>
          <w:b/>
          <w:sz w:val="24"/>
          <w:szCs w:val="24"/>
        </w:rPr>
        <w:t xml:space="preserve"> </w:t>
      </w:r>
      <w:r w:rsidRPr="00E22DA7">
        <w:rPr>
          <w:rFonts w:ascii="Times New Roman" w:hAnsi="Times New Roman"/>
          <w:sz w:val="24"/>
          <w:szCs w:val="24"/>
        </w:rPr>
        <w:t>was initially authorized by VAWA 1994 and was reauthorized and amended by VAWA 2000 and VAWA 2005.</w:t>
      </w:r>
      <w:r w:rsidRPr="00E22DA7">
        <w:rPr>
          <w:rFonts w:ascii="Times New Roman" w:hAnsi="Times New Roman"/>
          <w:i/>
          <w:sz w:val="24"/>
          <w:szCs w:val="24"/>
        </w:rPr>
        <w:t xml:space="preserve">  </w:t>
      </w:r>
      <w:r w:rsidRPr="00E22DA7">
        <w:rPr>
          <w:rFonts w:ascii="Times New Roman" w:hAnsi="Times New Roman"/>
          <w:sz w:val="24"/>
          <w:szCs w:val="24"/>
        </w:rPr>
        <w:t xml:space="preserve">Originally, the program focused on encouraging communities to treat domestic violence as a serious crime.  As amended, the program also addresses the seriousness of sexual assault, dating violence, and stalking, and encourages communities to use and enforce protection orders.  </w:t>
      </w:r>
    </w:p>
    <w:p w:rsidR="00612F80" w:rsidRPr="00E22DA7" w:rsidRDefault="00612F80" w:rsidP="00B76834">
      <w:pPr>
        <w:pStyle w:val="00Bodytext"/>
        <w:tabs>
          <w:tab w:val="left" w:pos="360"/>
          <w:tab w:val="left" w:pos="3420"/>
        </w:tabs>
        <w:spacing w:after="0"/>
        <w:ind w:right="-1080"/>
        <w:rPr>
          <w:rFonts w:ascii="Times New Roman" w:hAnsi="Times New Roman"/>
          <w:sz w:val="24"/>
          <w:szCs w:val="24"/>
        </w:rPr>
      </w:pPr>
      <w:bookmarkStart w:id="4" w:name="OLE_LINK21"/>
      <w:bookmarkStart w:id="5" w:name="OLE_LINK22"/>
      <w:r w:rsidRPr="00E22DA7">
        <w:rPr>
          <w:rFonts w:ascii="Times New Roman" w:hAnsi="Times New Roman"/>
          <w:sz w:val="24"/>
          <w:szCs w:val="24"/>
        </w:rPr>
        <w:lastRenderedPageBreak/>
        <w:t xml:space="preserve">The Arrest Program is designed to encourage State, local, and tribal governments and courts to treat domestic violence, dating violence, sexual assault, and stalking as serious violations of criminal law requiring coordination between nonprofit, nongovernmental victim advocates and representatives from the criminal justice system.  </w:t>
      </w:r>
      <w:bookmarkEnd w:id="4"/>
      <w:bookmarkEnd w:id="5"/>
      <w:r w:rsidRPr="00E22DA7">
        <w:rPr>
          <w:rFonts w:ascii="Times New Roman" w:hAnsi="Times New Roman"/>
          <w:sz w:val="24"/>
          <w:szCs w:val="24"/>
        </w:rPr>
        <w:t>The program challenges the whole community to communicate, identify problems, and share ideas that will result in new responses and the application of best practices to enhance victim safety and offender accountability.</w:t>
      </w:r>
      <w:r w:rsidR="00E33644">
        <w:rPr>
          <w:rFonts w:ascii="Times New Roman" w:hAnsi="Times New Roman"/>
          <w:sz w:val="24"/>
          <w:szCs w:val="24"/>
        </w:rPr>
        <w:t xml:space="preserve">  </w:t>
      </w:r>
    </w:p>
    <w:p w:rsidR="00612F80" w:rsidRPr="00E22DA7" w:rsidRDefault="00B93288" w:rsidP="00A10BE9">
      <w:pPr>
        <w:ind w:right="-1080"/>
      </w:pPr>
      <w:r>
        <w:rPr>
          <w:b/>
          <w:color w:val="000000"/>
        </w:rPr>
        <w:tab/>
      </w:r>
    </w:p>
    <w:p w:rsidR="00612F80" w:rsidRPr="009C0A84" w:rsidRDefault="00612F80" w:rsidP="00B76834">
      <w:pPr>
        <w:ind w:right="-1080" w:firstLine="720"/>
        <w:rPr>
          <w:b/>
          <w:highlight w:val="yellow"/>
        </w:rPr>
      </w:pPr>
      <w:r w:rsidRPr="00E22DA7">
        <w:rPr>
          <w:b/>
        </w:rPr>
        <w:t>(2)</w:t>
      </w:r>
      <w:r w:rsidRPr="00E22DA7">
        <w:rPr>
          <w:b/>
        </w:rPr>
        <w:tab/>
        <w:t xml:space="preserve">Legal Assistance for Victims Grant Program (LAV Program) – </w:t>
      </w:r>
      <w:r w:rsidR="00E02460">
        <w:rPr>
          <w:b/>
        </w:rPr>
        <w:t>$4</w:t>
      </w:r>
      <w:r w:rsidR="001F32CB">
        <w:rPr>
          <w:b/>
        </w:rPr>
        <w:t>1</w:t>
      </w:r>
      <w:r w:rsidR="00E02460">
        <w:rPr>
          <w:b/>
        </w:rPr>
        <w:t>,000,000</w:t>
      </w:r>
    </w:p>
    <w:p w:rsidR="00612F80" w:rsidRPr="00E22DA7" w:rsidRDefault="00612F80" w:rsidP="00B76834">
      <w:pPr>
        <w:ind w:right="-1080"/>
      </w:pPr>
    </w:p>
    <w:p w:rsidR="00612F80" w:rsidRPr="00E22DA7" w:rsidRDefault="00612F80" w:rsidP="00B76834">
      <w:pPr>
        <w:pStyle w:val="00Bodytext"/>
        <w:tabs>
          <w:tab w:val="left" w:pos="360"/>
        </w:tabs>
        <w:spacing w:after="0"/>
        <w:ind w:right="-1080"/>
        <w:rPr>
          <w:rFonts w:ascii="Times New Roman" w:hAnsi="Times New Roman"/>
          <w:sz w:val="24"/>
          <w:szCs w:val="24"/>
        </w:rPr>
      </w:pPr>
      <w:r w:rsidRPr="00E22DA7">
        <w:rPr>
          <w:rFonts w:ascii="Times New Roman" w:hAnsi="Times New Roman"/>
          <w:sz w:val="24"/>
          <w:szCs w:val="24"/>
        </w:rPr>
        <w:t>The LAV Program was funded under a special initiative by Congress in 1998, was later authorized by VAWA 2000, and was reauthorized by VAWA 2005.  The Program funds projects that address the civil and criminal legal needs of victims of domestic violence, dating violence, sexual assault, and stalking.  Criminal assistance under the</w:t>
      </w:r>
      <w:r w:rsidRPr="00E22DA7">
        <w:rPr>
          <w:rFonts w:ascii="Times New Roman" w:hAnsi="Times New Roman"/>
          <w:b/>
          <w:sz w:val="24"/>
          <w:szCs w:val="24"/>
        </w:rPr>
        <w:t xml:space="preserve"> </w:t>
      </w:r>
      <w:r w:rsidRPr="00E22DA7">
        <w:rPr>
          <w:rFonts w:ascii="Times New Roman" w:hAnsi="Times New Roman"/>
          <w:sz w:val="24"/>
          <w:szCs w:val="24"/>
        </w:rPr>
        <w:t xml:space="preserve">LAV Program does </w:t>
      </w:r>
      <w:r w:rsidRPr="00E22DA7">
        <w:rPr>
          <w:rFonts w:ascii="Times New Roman" w:hAnsi="Times New Roman"/>
          <w:i/>
          <w:sz w:val="24"/>
          <w:szCs w:val="24"/>
        </w:rPr>
        <w:t xml:space="preserve">not </w:t>
      </w:r>
      <w:r w:rsidRPr="00E22DA7">
        <w:rPr>
          <w:rFonts w:ascii="Times New Roman" w:hAnsi="Times New Roman"/>
          <w:sz w:val="24"/>
          <w:szCs w:val="24"/>
        </w:rPr>
        <w:t>include criminal defense.</w:t>
      </w:r>
    </w:p>
    <w:p w:rsidR="00612F80" w:rsidRPr="00E22DA7" w:rsidRDefault="00612F80" w:rsidP="00B76834">
      <w:pPr>
        <w:pStyle w:val="00Bodytext"/>
        <w:tabs>
          <w:tab w:val="left" w:pos="360"/>
        </w:tabs>
        <w:spacing w:after="0"/>
        <w:ind w:right="-1080"/>
        <w:rPr>
          <w:rFonts w:ascii="Times New Roman" w:hAnsi="Times New Roman"/>
          <w:sz w:val="24"/>
          <w:szCs w:val="24"/>
        </w:rPr>
      </w:pPr>
    </w:p>
    <w:p w:rsidR="00612F80" w:rsidRPr="00E22DA7" w:rsidRDefault="00612F80" w:rsidP="00B76834">
      <w:pPr>
        <w:pStyle w:val="Default"/>
        <w:tabs>
          <w:tab w:val="left" w:pos="360"/>
        </w:tabs>
        <w:ind w:right="-1080"/>
        <w:rPr>
          <w:color w:val="auto"/>
        </w:rPr>
      </w:pPr>
      <w:r w:rsidRPr="00E22DA7">
        <w:t>OVW-funded projects provide civil and criminal legal assistance to victims, encourage cooperative efforts between domestic violence and sexual assault service organizations and legal assistance providers, and provide technical assistance to LAV Program grantees.</w:t>
      </w:r>
      <w:r w:rsidRPr="00E22DA7">
        <w:rPr>
          <w:color w:val="auto"/>
        </w:rPr>
        <w:t xml:space="preserve"> </w:t>
      </w:r>
      <w:r w:rsidRPr="00E22DA7">
        <w:t xml:space="preserve"> </w:t>
      </w:r>
      <w:r w:rsidRPr="00E22DA7">
        <w:rPr>
          <w:color w:val="auto"/>
        </w:rPr>
        <w:t xml:space="preserve">At least 25 percent of </w:t>
      </w:r>
      <w:r w:rsidRPr="00E22DA7">
        <w:t>LAV</w:t>
      </w:r>
      <w:r w:rsidRPr="00E22DA7">
        <w:rPr>
          <w:b/>
        </w:rPr>
        <w:t xml:space="preserve"> </w:t>
      </w:r>
      <w:r w:rsidRPr="00E22DA7">
        <w:t xml:space="preserve">Program </w:t>
      </w:r>
      <w:r w:rsidRPr="00E22DA7">
        <w:rPr>
          <w:color w:val="auto"/>
        </w:rPr>
        <w:t xml:space="preserve">grants support projects focused on providing legal assistance to victims of sexual assault.  Three percent of </w:t>
      </w:r>
      <w:r w:rsidRPr="00E22DA7">
        <w:t>LAV Program</w:t>
      </w:r>
      <w:r w:rsidRPr="00E22DA7">
        <w:rPr>
          <w:color w:val="auto"/>
        </w:rPr>
        <w:t xml:space="preserve"> funding is set aside for grants to programs that assist victims within the jurisdiction of an Indian tribe.</w:t>
      </w:r>
    </w:p>
    <w:p w:rsidR="00612F80" w:rsidRPr="00E22DA7" w:rsidRDefault="00612F80" w:rsidP="00B76834">
      <w:pPr>
        <w:pStyle w:val="Default"/>
        <w:tabs>
          <w:tab w:val="left" w:pos="360"/>
        </w:tabs>
        <w:ind w:right="-1080"/>
        <w:rPr>
          <w:color w:val="auto"/>
        </w:rPr>
      </w:pPr>
    </w:p>
    <w:p w:rsidR="00612F80" w:rsidRPr="003E21B2" w:rsidRDefault="00612F80" w:rsidP="00B76834">
      <w:pPr>
        <w:ind w:left="1440" w:right="-1080" w:hanging="720"/>
      </w:pPr>
      <w:r w:rsidRPr="00E22DA7">
        <w:rPr>
          <w:b/>
        </w:rPr>
        <w:t xml:space="preserve">(3) </w:t>
      </w:r>
      <w:r w:rsidRPr="00E22DA7">
        <w:rPr>
          <w:b/>
        </w:rPr>
        <w:tab/>
        <w:t xml:space="preserve">Rural Sexual Assault, Domestic Violence, Dating Violence, and Stalking Assistance Program (Rural Program) </w:t>
      </w:r>
      <w:r w:rsidR="00E02460">
        <w:rPr>
          <w:b/>
        </w:rPr>
        <w:t>$3</w:t>
      </w:r>
      <w:r w:rsidR="001F32CB">
        <w:rPr>
          <w:b/>
        </w:rPr>
        <w:t>7</w:t>
      </w:r>
      <w:r w:rsidR="00E02460">
        <w:rPr>
          <w:b/>
        </w:rPr>
        <w:t>,</w:t>
      </w:r>
      <w:r w:rsidR="001F32CB">
        <w:rPr>
          <w:b/>
        </w:rPr>
        <w:t>5</w:t>
      </w:r>
      <w:r w:rsidR="00E02460">
        <w:rPr>
          <w:b/>
        </w:rPr>
        <w:t>00,000</w:t>
      </w:r>
    </w:p>
    <w:p w:rsidR="00612F80" w:rsidRPr="00E22DA7" w:rsidRDefault="00612F80" w:rsidP="00B76834">
      <w:pPr>
        <w:ind w:left="720" w:right="-1080" w:hanging="720"/>
      </w:pPr>
    </w:p>
    <w:p w:rsidR="00612F80" w:rsidRPr="00E22DA7" w:rsidRDefault="00612F80" w:rsidP="00B76834">
      <w:pPr>
        <w:pStyle w:val="Default"/>
        <w:tabs>
          <w:tab w:val="left" w:pos="360"/>
        </w:tabs>
        <w:ind w:right="-1080"/>
      </w:pPr>
      <w:r w:rsidRPr="00E22DA7">
        <w:rPr>
          <w:color w:val="auto"/>
        </w:rPr>
        <w:t xml:space="preserve">The </w:t>
      </w:r>
      <w:r w:rsidRPr="00E22DA7">
        <w:t>Rural Program</w:t>
      </w:r>
      <w:r w:rsidRPr="00E22DA7">
        <w:rPr>
          <w:b/>
        </w:rPr>
        <w:t xml:space="preserve"> </w:t>
      </w:r>
      <w:r w:rsidRPr="00E22DA7">
        <w:rPr>
          <w:color w:val="auto"/>
        </w:rPr>
        <w:t xml:space="preserve">was established by Congress in VAWA 1994 and reauthorized by VAWA 2000.  </w:t>
      </w:r>
      <w:r w:rsidRPr="00E22DA7">
        <w:t xml:space="preserve">VAWA 2005 expanded the scope of the </w:t>
      </w:r>
      <w:r w:rsidRPr="00E22DA7">
        <w:rPr>
          <w:color w:val="auto"/>
        </w:rPr>
        <w:t xml:space="preserve">Rural Program </w:t>
      </w:r>
      <w:r w:rsidRPr="00E22DA7">
        <w:t xml:space="preserve">to include sexual assault and stalking and modified the eligibility criteria as well as the statutory purpose areas under which projects must be implemented. </w:t>
      </w:r>
    </w:p>
    <w:p w:rsidR="00612F80" w:rsidRPr="00E22DA7" w:rsidRDefault="00612F80" w:rsidP="00B76834">
      <w:pPr>
        <w:pStyle w:val="Default"/>
        <w:tabs>
          <w:tab w:val="left" w:pos="360"/>
        </w:tabs>
        <w:ind w:right="-1080"/>
      </w:pPr>
    </w:p>
    <w:p w:rsidR="00612F80" w:rsidRPr="00E22DA7" w:rsidRDefault="00612F80" w:rsidP="00B76834">
      <w:pPr>
        <w:pStyle w:val="CM4"/>
        <w:spacing w:line="240" w:lineRule="auto"/>
        <w:ind w:right="-1080"/>
        <w:rPr>
          <w:rFonts w:ascii="Times New Roman" w:hAnsi="Times New Roman"/>
          <w:color w:val="000000"/>
        </w:rPr>
      </w:pPr>
      <w:r w:rsidRPr="00E22DA7">
        <w:rPr>
          <w:rFonts w:ascii="Times New Roman" w:hAnsi="Times New Roman"/>
          <w:color w:val="000000"/>
        </w:rPr>
        <w:t xml:space="preserve">The primary purpose of the Rural Program is to enhance the safety of children, youth, and adults who are victims of domestic violence, dating violence, sexual assault, and stalking by supporting projects uniquely designed to address and prevent these crimes in rural jurisdictions.  The Rural Program encourages collaboration between victim advocates, law enforcement officers, pre-trial service personnel, prosecutors, judges and other court personnel, probation and parole officers, and faith- and/or community-based leaders to </w:t>
      </w:r>
      <w:r w:rsidRPr="00E22DA7">
        <w:rPr>
          <w:rFonts w:ascii="Times New Roman" w:hAnsi="Times New Roman"/>
        </w:rPr>
        <w:t>overcome the problems of domestic violence, dating violence, sexual assault, and stalking, and ensure that victim safety is paramount in providing services to victims and their children.</w:t>
      </w:r>
    </w:p>
    <w:p w:rsidR="00612F80" w:rsidRPr="00E22DA7" w:rsidRDefault="00612F80" w:rsidP="00B76834">
      <w:pPr>
        <w:pStyle w:val="Default"/>
        <w:ind w:right="-1080"/>
      </w:pPr>
    </w:p>
    <w:p w:rsidR="00612F80" w:rsidRPr="00E22DA7" w:rsidRDefault="00612F80" w:rsidP="00B76834">
      <w:pPr>
        <w:pStyle w:val="Default"/>
        <w:tabs>
          <w:tab w:val="left" w:pos="360"/>
        </w:tabs>
        <w:ind w:right="-1080"/>
        <w:rPr>
          <w:color w:val="auto"/>
        </w:rPr>
      </w:pPr>
      <w:r w:rsidRPr="00E22DA7">
        <w:rPr>
          <w:color w:val="auto"/>
        </w:rPr>
        <w:t>The Rural Program is required to award no less than 75 percent of available funds to projects in rural States.  The Rural Program is required to set aside no less than 25 to 40 percent of funds, depending on annual appropriations, for activities that meaningfully address sexual assault.</w:t>
      </w:r>
    </w:p>
    <w:p w:rsidR="00612F80" w:rsidRPr="00E22DA7" w:rsidRDefault="00612F80" w:rsidP="00B76834">
      <w:pPr>
        <w:pStyle w:val="Default"/>
        <w:tabs>
          <w:tab w:val="left" w:pos="360"/>
        </w:tabs>
        <w:ind w:right="-1080"/>
        <w:rPr>
          <w:color w:val="auto"/>
        </w:rPr>
      </w:pPr>
    </w:p>
    <w:p w:rsidR="00612F80" w:rsidRPr="009C0A84" w:rsidRDefault="00612F80" w:rsidP="00B76834">
      <w:pPr>
        <w:ind w:left="1440" w:hanging="720"/>
        <w:rPr>
          <w:b/>
          <w:highlight w:val="yellow"/>
        </w:rPr>
      </w:pPr>
      <w:r w:rsidRPr="00E22DA7">
        <w:rPr>
          <w:b/>
        </w:rPr>
        <w:t>(4)</w:t>
      </w:r>
      <w:r w:rsidRPr="00E22DA7">
        <w:rPr>
          <w:b/>
        </w:rPr>
        <w:tab/>
        <w:t xml:space="preserve">The Education and Training to End Violence Against and Abuse of Women with Disabilities Grant Program (Disabilities Program) – </w:t>
      </w:r>
      <w:r w:rsidR="00E02460">
        <w:rPr>
          <w:b/>
        </w:rPr>
        <w:t>$</w:t>
      </w:r>
      <w:r w:rsidR="001F32CB">
        <w:rPr>
          <w:b/>
        </w:rPr>
        <w:t>5</w:t>
      </w:r>
      <w:r w:rsidR="00E02460">
        <w:rPr>
          <w:b/>
        </w:rPr>
        <w:t>,750,000</w:t>
      </w:r>
    </w:p>
    <w:p w:rsidR="00612F80" w:rsidRPr="00E22DA7" w:rsidRDefault="00612F80" w:rsidP="00B76834"/>
    <w:p w:rsidR="00612F80" w:rsidRPr="00E22DA7" w:rsidRDefault="00612F80" w:rsidP="000C3EA1">
      <w:pPr>
        <w:ind w:right="-540"/>
      </w:pPr>
      <w:r w:rsidRPr="00E22DA7">
        <w:t>The Disabilities Program was first authorized by Congress in VAWA 2000 and expanded to include victim services in VAWA 2005.  The goal of the Disabilities Program is to create sustainable, systemic change that will result in effective services for individuals with disabilities who are victims of domestic violence, dating violence, sexual assault, and stalking and hold offenders accountable.  The Disabilities Program supports education, cross training, services, capacity building and the establishment of multi-disciplinary teams at the local level.</w:t>
      </w:r>
    </w:p>
    <w:p w:rsidR="00612F80" w:rsidRPr="00E22DA7" w:rsidRDefault="00612F80" w:rsidP="00B76834"/>
    <w:p w:rsidR="00612F80" w:rsidRPr="003E21B2" w:rsidRDefault="00612F80" w:rsidP="00B76834">
      <w:pPr>
        <w:ind w:left="1440" w:right="-1080" w:hanging="720"/>
        <w:rPr>
          <w:b/>
        </w:rPr>
      </w:pPr>
      <w:r w:rsidRPr="00E22DA7">
        <w:rPr>
          <w:b/>
        </w:rPr>
        <w:lastRenderedPageBreak/>
        <w:t>(5)</w:t>
      </w:r>
      <w:r w:rsidRPr="00E22DA7">
        <w:rPr>
          <w:b/>
        </w:rPr>
        <w:tab/>
        <w:t xml:space="preserve">Grants to Reduce Domestic Violence, Dating Violence, Sexual Assault, and Stalking On Campus Program) – </w:t>
      </w:r>
      <w:r w:rsidR="00E02460">
        <w:rPr>
          <w:b/>
        </w:rPr>
        <w:t>$9,</w:t>
      </w:r>
      <w:r w:rsidR="001F32CB">
        <w:rPr>
          <w:b/>
        </w:rPr>
        <w:t>0</w:t>
      </w:r>
      <w:r w:rsidR="00E02460">
        <w:rPr>
          <w:b/>
        </w:rPr>
        <w:t>00,000</w:t>
      </w:r>
    </w:p>
    <w:p w:rsidR="00612F80" w:rsidRPr="00E22DA7" w:rsidRDefault="00612F80" w:rsidP="00B76834">
      <w:pPr>
        <w:ind w:right="-1080"/>
      </w:pPr>
    </w:p>
    <w:p w:rsidR="00612F80" w:rsidRPr="00E22DA7" w:rsidRDefault="00612F80" w:rsidP="00B76834">
      <w:pPr>
        <w:pStyle w:val="Default"/>
        <w:tabs>
          <w:tab w:val="left" w:pos="360"/>
        </w:tabs>
        <w:ind w:right="-1080"/>
      </w:pPr>
      <w:r w:rsidRPr="00E22DA7">
        <w:t>The Campus Program, first authorized in the Higher Education Amendments of 1998 and reauthorized by VAWA 2000 and 2005, is designed to encourage institutions of higher education to adopt comprehensive, coordinated responses to domestic violence, dating violence, sexual assault, and stalking.  The Campus Program strengthens on-campus victim services and advocacy, security, and investigative strategies to prevent and prosecute violent crimes against women on campuses.</w:t>
      </w:r>
    </w:p>
    <w:p w:rsidR="00612F80" w:rsidRPr="00E22DA7" w:rsidRDefault="00612F80" w:rsidP="00B76834">
      <w:pPr>
        <w:pStyle w:val="Default"/>
        <w:tabs>
          <w:tab w:val="left" w:pos="360"/>
        </w:tabs>
        <w:ind w:right="-1080"/>
        <w:rPr>
          <w:color w:val="auto"/>
        </w:rPr>
      </w:pPr>
    </w:p>
    <w:p w:rsidR="00612F80" w:rsidRPr="00E22DA7" w:rsidRDefault="00612F80" w:rsidP="00B76834">
      <w:pPr>
        <w:ind w:right="-1080"/>
      </w:pPr>
      <w:r w:rsidRPr="00E22DA7">
        <w:t>In order to receive grant funds through the Campus Program, institutions of higher education must provide prevention education on violence against women for all incoming students, train campus law enforcement or security staff on appropriate responses to violence against women, train members of campus judicial or disciplinary boards on the unique dynamics of violence against women, and create a coordinated community response to violence against women to enhance victim safety and assistance as well as hold offenders accountable.</w:t>
      </w:r>
    </w:p>
    <w:p w:rsidR="00612F80" w:rsidRPr="00E22DA7" w:rsidRDefault="00612F80" w:rsidP="00B76834">
      <w:pPr>
        <w:ind w:right="-1080"/>
      </w:pPr>
    </w:p>
    <w:p w:rsidR="00612F80" w:rsidRPr="009C0A84" w:rsidRDefault="00612F80" w:rsidP="00B76834">
      <w:pPr>
        <w:ind w:left="1440" w:hanging="720"/>
        <w:rPr>
          <w:b/>
          <w:highlight w:val="yellow"/>
        </w:rPr>
      </w:pPr>
      <w:r w:rsidRPr="00E22DA7">
        <w:rPr>
          <w:b/>
        </w:rPr>
        <w:t>(6)</w:t>
      </w:r>
      <w:r w:rsidRPr="00E22DA7">
        <w:rPr>
          <w:b/>
        </w:rPr>
        <w:tab/>
        <w:t>Safe Havens: Supervised Visitation and Safe Exchange Grant Program (Supervised Visitation Program)</w:t>
      </w:r>
      <w:r w:rsidR="009C595D">
        <w:rPr>
          <w:b/>
        </w:rPr>
        <w:t xml:space="preserve"> - $11,500,000</w:t>
      </w:r>
    </w:p>
    <w:p w:rsidR="00612F80" w:rsidRPr="009C0A84" w:rsidRDefault="00612F80" w:rsidP="00B76834">
      <w:pPr>
        <w:rPr>
          <w:highlight w:val="yellow"/>
        </w:rPr>
      </w:pPr>
    </w:p>
    <w:p w:rsidR="00612F80" w:rsidRPr="00E22DA7" w:rsidRDefault="00612F80" w:rsidP="00B76834">
      <w:pPr>
        <w:pStyle w:val="CM43"/>
        <w:ind w:right="-1080"/>
        <w:rPr>
          <w:rFonts w:ascii="Times New Roman" w:hAnsi="Times New Roman"/>
        </w:rPr>
      </w:pPr>
      <w:r w:rsidRPr="00E22DA7">
        <w:rPr>
          <w:rFonts w:ascii="Times New Roman" w:hAnsi="Times New Roman"/>
        </w:rPr>
        <w:t>The Supervised Visitation Program</w:t>
      </w:r>
      <w:r w:rsidRPr="00E22DA7">
        <w:rPr>
          <w:rFonts w:ascii="Times New Roman" w:hAnsi="Times New Roman"/>
          <w:b/>
        </w:rPr>
        <w:t xml:space="preserve"> </w:t>
      </w:r>
      <w:r w:rsidRPr="00E22DA7">
        <w:rPr>
          <w:rFonts w:ascii="Times New Roman" w:hAnsi="Times New Roman"/>
        </w:rPr>
        <w:t xml:space="preserve">was authorized as a pilot project by VAWA 2000. The first awards under the program were made in 2002. The program was reauthorized as a full grant program by VAWA 2005 in the amount of $20,000,000.  The Supervised Visitation Program provides an opportunity for communities to support supervised visitation and safe exchange of children in situations involving domestic violence, dating violence, child abuse, sexual assault, or stalking. </w:t>
      </w:r>
    </w:p>
    <w:p w:rsidR="00612F80" w:rsidRPr="00E22DA7" w:rsidRDefault="00612F80" w:rsidP="00B76834">
      <w:pPr>
        <w:pStyle w:val="Default"/>
        <w:ind w:right="-1080"/>
      </w:pPr>
      <w:r w:rsidRPr="00E22DA7">
        <w:t xml:space="preserve">Visitation centers provide a safe place for children to visit with the non-custodial parent. They also help keep children and adult victims of domestic violence safe during exchanges and visitation, hold batterers accountable for their violence and abuse during visitation and exchange, and provide access to meaningful referrals for adult victims of domestic violence.  Visitation centers are part of a larger community response and are among the few programs that interact with each member of the family. As such, they provide a unique opportunity to identify the needs and gaps in services for all family members affected by domestic violence, dating violence, child abuse, sexual assault and stalking. </w:t>
      </w:r>
    </w:p>
    <w:p w:rsidR="00612F80" w:rsidRPr="00E22DA7" w:rsidRDefault="00612F80" w:rsidP="00B76834">
      <w:pPr>
        <w:rPr>
          <w:b/>
        </w:rPr>
      </w:pPr>
    </w:p>
    <w:p w:rsidR="00612F80" w:rsidRPr="00E22DA7" w:rsidRDefault="00612F80" w:rsidP="00B76834">
      <w:pPr>
        <w:ind w:left="1440" w:hanging="720"/>
        <w:rPr>
          <w:b/>
        </w:rPr>
      </w:pPr>
      <w:r w:rsidRPr="00E22DA7">
        <w:rPr>
          <w:b/>
        </w:rPr>
        <w:t>(7)</w:t>
      </w:r>
      <w:r w:rsidRPr="00E22DA7">
        <w:rPr>
          <w:b/>
        </w:rPr>
        <w:tab/>
        <w:t xml:space="preserve">Enhanced Training and Services to End Violence Against and Abuse of Women in Later Life Program (Abuse in Later Life Program) – </w:t>
      </w:r>
      <w:r w:rsidR="00E02460">
        <w:rPr>
          <w:b/>
        </w:rPr>
        <w:t>$4,250,000</w:t>
      </w:r>
    </w:p>
    <w:p w:rsidR="00612F80" w:rsidRPr="00E22DA7" w:rsidRDefault="00612F80" w:rsidP="00B76834">
      <w:pPr>
        <w:rPr>
          <w:b/>
        </w:rPr>
      </w:pPr>
    </w:p>
    <w:p w:rsidR="00612F80" w:rsidRPr="00E22DA7" w:rsidRDefault="00612F80" w:rsidP="00B76834">
      <w:pPr>
        <w:pStyle w:val="Default"/>
        <w:tabs>
          <w:tab w:val="left" w:pos="360"/>
        </w:tabs>
        <w:ind w:right="-1080"/>
        <w:rPr>
          <w:color w:val="auto"/>
        </w:rPr>
      </w:pPr>
      <w:r w:rsidRPr="00E22DA7">
        <w:rPr>
          <w:color w:val="auto"/>
        </w:rPr>
        <w:t>The Enhanced Training and Services to End Violence Against and Abuse of Women in Later Life Program (Abuse in Later Life Program)</w:t>
      </w:r>
      <w:r w:rsidRPr="00E22DA7">
        <w:rPr>
          <w:b/>
          <w:color w:val="auto"/>
        </w:rPr>
        <w:t xml:space="preserve"> </w:t>
      </w:r>
      <w:r w:rsidRPr="00E22DA7">
        <w:rPr>
          <w:color w:val="auto"/>
        </w:rPr>
        <w:t xml:space="preserve">was created by Congress in VAWA 2000 and expanded by VAWA 2005. Under this grant program, OVW funds projects that provide a comprehensive approach to addressing elder abuse.  Those trained under the Abuse in Later Life Program are taught to look for signs of all types of abuse of older victims, including but not limited to physical abuse, neglect, financial exploitation, and sexual assault. </w:t>
      </w:r>
    </w:p>
    <w:p w:rsidR="00612F80" w:rsidRPr="00E22DA7" w:rsidRDefault="00612F80" w:rsidP="00B76834">
      <w:pPr>
        <w:pStyle w:val="Default"/>
        <w:tabs>
          <w:tab w:val="left" w:pos="360"/>
        </w:tabs>
        <w:ind w:right="-1080"/>
      </w:pPr>
    </w:p>
    <w:p w:rsidR="00612F80" w:rsidRPr="00E22DA7" w:rsidRDefault="00612F80" w:rsidP="00B76834">
      <w:pPr>
        <w:ind w:left="1440" w:right="-1080" w:hanging="720"/>
        <w:rPr>
          <w:b/>
        </w:rPr>
      </w:pPr>
      <w:r w:rsidRPr="00E22DA7">
        <w:rPr>
          <w:b/>
        </w:rPr>
        <w:t>(8)</w:t>
      </w:r>
      <w:r w:rsidRPr="00E22DA7">
        <w:rPr>
          <w:b/>
        </w:rPr>
        <w:tab/>
        <w:t>Transitional Housing Assistance Grants for Victims of Sexual Assault, Domestic Violence, Dating</w:t>
      </w:r>
      <w:r w:rsidR="005D6819">
        <w:rPr>
          <w:b/>
        </w:rPr>
        <w:t xml:space="preserve"> </w:t>
      </w:r>
      <w:r w:rsidRPr="00E22DA7">
        <w:rPr>
          <w:b/>
        </w:rPr>
        <w:t>Violence, Stalking, or Sexual Assault Program</w:t>
      </w:r>
      <w:r w:rsidRPr="00E22DA7">
        <w:t xml:space="preserve">  </w:t>
      </w:r>
      <w:r w:rsidRPr="00E22DA7">
        <w:rPr>
          <w:b/>
        </w:rPr>
        <w:t xml:space="preserve">(Transitional Housing Assistance Program) – </w:t>
      </w:r>
      <w:r w:rsidRPr="003E21B2">
        <w:rPr>
          <w:b/>
        </w:rPr>
        <w:t>$</w:t>
      </w:r>
      <w:r w:rsidR="009C595D">
        <w:rPr>
          <w:b/>
        </w:rPr>
        <w:t>22</w:t>
      </w:r>
      <w:r w:rsidR="001810B7" w:rsidRPr="003E21B2">
        <w:rPr>
          <w:b/>
        </w:rPr>
        <w:t>,</w:t>
      </w:r>
      <w:r w:rsidR="009C595D">
        <w:rPr>
          <w:b/>
        </w:rPr>
        <w:t>0</w:t>
      </w:r>
      <w:r w:rsidR="001810B7" w:rsidRPr="003E21B2">
        <w:rPr>
          <w:b/>
        </w:rPr>
        <w:t>00,000</w:t>
      </w:r>
    </w:p>
    <w:p w:rsidR="00612F80" w:rsidRPr="00E22DA7" w:rsidRDefault="00612F80" w:rsidP="00B76834">
      <w:pPr>
        <w:ind w:right="-1080"/>
        <w:rPr>
          <w:b/>
        </w:rPr>
      </w:pPr>
    </w:p>
    <w:p w:rsidR="00612F80" w:rsidRPr="00E22DA7" w:rsidRDefault="00612F80" w:rsidP="00B76834">
      <w:pPr>
        <w:pStyle w:val="Default"/>
        <w:tabs>
          <w:tab w:val="left" w:pos="360"/>
        </w:tabs>
        <w:ind w:right="-1080"/>
        <w:rPr>
          <w:color w:val="auto"/>
        </w:rPr>
      </w:pPr>
      <w:r w:rsidRPr="00E22DA7">
        <w:t xml:space="preserve">The Transitional Housing Assistance Program, </w:t>
      </w:r>
      <w:r w:rsidRPr="00E22DA7">
        <w:rPr>
          <w:color w:val="auto"/>
        </w:rPr>
        <w:t xml:space="preserve">first authorized by the PROTECT Act of 2003 and reauthorized by VAWA 2005, focuses on a holistic, victim-centered approach to transitional housing </w:t>
      </w:r>
      <w:r w:rsidRPr="00E22DA7">
        <w:rPr>
          <w:color w:val="auto"/>
        </w:rPr>
        <w:lastRenderedPageBreak/>
        <w:t xml:space="preserve">services that move individuals into permanent housing. Grants support programs that provide assistance to victims of domestic violence, dating violence, sexual assault, and stalking who are in need of transitional housing, short-term housing assistance, and related support services. </w:t>
      </w:r>
      <w:r w:rsidR="00561E56">
        <w:rPr>
          <w:color w:val="auto"/>
        </w:rPr>
        <w:t xml:space="preserve"> </w:t>
      </w:r>
    </w:p>
    <w:p w:rsidR="00612F80" w:rsidRPr="00E22DA7" w:rsidRDefault="00612F80" w:rsidP="00B76834">
      <w:pPr>
        <w:pStyle w:val="Default"/>
        <w:tabs>
          <w:tab w:val="left" w:pos="360"/>
        </w:tabs>
        <w:ind w:right="-1080"/>
      </w:pPr>
      <w:r w:rsidRPr="00E22DA7">
        <w:rPr>
          <w:color w:val="auto"/>
        </w:rPr>
        <w:t xml:space="preserve">Transitional Housing Assistance Program grantees may offer individualized services such as counseling, support groups, safety planning, and advocacy services as well as practical services including licensed child care, employment services, transportation vouchers, and referrals to other agencies. </w:t>
      </w:r>
    </w:p>
    <w:p w:rsidR="00612F80" w:rsidRDefault="00612F80" w:rsidP="00B76834">
      <w:pPr>
        <w:ind w:right="-1080"/>
      </w:pPr>
    </w:p>
    <w:p w:rsidR="00ED2BED" w:rsidRDefault="00ED2BED" w:rsidP="00B76834">
      <w:pPr>
        <w:ind w:right="-1080"/>
      </w:pPr>
    </w:p>
    <w:p w:rsidR="00ED2BED" w:rsidRPr="00E22DA7" w:rsidRDefault="00ED2BED" w:rsidP="00B76834">
      <w:pPr>
        <w:ind w:right="-1080"/>
      </w:pPr>
    </w:p>
    <w:p w:rsidR="00612F80" w:rsidRPr="003E21B2" w:rsidRDefault="008A5246" w:rsidP="00AB3ECC">
      <w:pPr>
        <w:numPr>
          <w:ilvl w:val="0"/>
          <w:numId w:val="18"/>
        </w:numPr>
        <w:ind w:right="-1080"/>
        <w:rPr>
          <w:i/>
        </w:rPr>
      </w:pPr>
      <w:r>
        <w:rPr>
          <w:b/>
        </w:rPr>
        <w:t>Consolidated Youth Program -- $10,000,000</w:t>
      </w:r>
    </w:p>
    <w:p w:rsidR="00612F80" w:rsidRPr="00E22DA7" w:rsidRDefault="00612F80" w:rsidP="00AB3ECC">
      <w:pPr>
        <w:ind w:right="-1080"/>
        <w:rPr>
          <w:b/>
        </w:rPr>
      </w:pPr>
    </w:p>
    <w:p w:rsidR="00ED2BED" w:rsidRPr="00412B79" w:rsidRDefault="00ED2BED" w:rsidP="00ED2BED">
      <w:pPr>
        <w:rPr>
          <w:b/>
          <w:u w:val="single"/>
        </w:rPr>
      </w:pPr>
      <w:r w:rsidRPr="00412B79">
        <w:t xml:space="preserve">This </w:t>
      </w:r>
      <w:r>
        <w:t xml:space="preserve">new </w:t>
      </w:r>
      <w:r w:rsidRPr="00412B79">
        <w:t xml:space="preserve">grant program consolidates the purpose areas of four previously funded programs </w:t>
      </w:r>
      <w:r>
        <w:t>u</w:t>
      </w:r>
      <w:r w:rsidRPr="00412B79">
        <w:t>nder one competitive program.  The four programs included in the consolidation are:  Services to Advocate for and Respond to Youth, Grants to Assist Children and Youth Exposed to Violence, Engaging Men and Youth in Preventing Domestic Violence, and Supporting Teens through Education and Prevention.  This consolidation will allow OVW to leverage resources for maximum impact in communities by funding comprehensive projects that include both youth service and prevention components.</w:t>
      </w:r>
    </w:p>
    <w:p w:rsidR="00ED2BED" w:rsidRDefault="00ED2BED" w:rsidP="00B76834">
      <w:pPr>
        <w:ind w:right="-1080"/>
      </w:pPr>
    </w:p>
    <w:p w:rsidR="00ED2BED" w:rsidRDefault="00ED2BED" w:rsidP="00B76834">
      <w:pPr>
        <w:ind w:right="-1080"/>
      </w:pPr>
      <w:r w:rsidRPr="00C96F2D">
        <w:t>The combined youth program fund a comprehensive array of prevention and intervention services for children and youth victims of domestic violence, dating violence, sexual assault and stalking.  Additionally, it seeks to engage men and youth to work as allies to end violence against women and girls.</w:t>
      </w:r>
    </w:p>
    <w:p w:rsidR="00ED2BED" w:rsidRDefault="00ED2BED" w:rsidP="00B76834">
      <w:pPr>
        <w:ind w:right="-1080"/>
      </w:pPr>
    </w:p>
    <w:p w:rsidR="00612F80" w:rsidRPr="00E22DA7" w:rsidRDefault="00612F80" w:rsidP="00B76834">
      <w:pPr>
        <w:tabs>
          <w:tab w:val="left" w:pos="720"/>
          <w:tab w:val="left" w:pos="1440"/>
        </w:tabs>
        <w:autoSpaceDE w:val="0"/>
        <w:autoSpaceDN w:val="0"/>
        <w:adjustRightInd w:val="0"/>
        <w:ind w:left="1440" w:hanging="1440"/>
        <w:rPr>
          <w:b/>
        </w:rPr>
      </w:pPr>
      <w:r w:rsidRPr="00E22DA7">
        <w:rPr>
          <w:b/>
        </w:rPr>
        <w:tab/>
        <w:t>(1</w:t>
      </w:r>
      <w:r w:rsidR="00ED2BED">
        <w:rPr>
          <w:b/>
        </w:rPr>
        <w:t>0</w:t>
      </w:r>
      <w:r w:rsidRPr="00E22DA7">
        <w:rPr>
          <w:b/>
        </w:rPr>
        <w:t>)</w:t>
      </w:r>
      <w:r w:rsidRPr="00E22DA7">
        <w:rPr>
          <w:b/>
        </w:rPr>
        <w:tab/>
      </w:r>
      <w:r w:rsidRPr="003E21B2">
        <w:rPr>
          <w:b/>
        </w:rPr>
        <w:t>The Court Training and Improvements Program (Court Improvements Program)</w:t>
      </w:r>
      <w:r w:rsidR="009C595D">
        <w:rPr>
          <w:b/>
        </w:rPr>
        <w:t xml:space="preserve"> - $4,500,000</w:t>
      </w:r>
    </w:p>
    <w:p w:rsidR="00612F80" w:rsidRPr="00E22DA7" w:rsidRDefault="00612F80" w:rsidP="00B76834">
      <w:pPr>
        <w:tabs>
          <w:tab w:val="left" w:pos="360"/>
          <w:tab w:val="left" w:pos="3420"/>
        </w:tabs>
        <w:autoSpaceDE w:val="0"/>
        <w:autoSpaceDN w:val="0"/>
        <w:adjustRightInd w:val="0"/>
        <w:rPr>
          <w:b/>
          <w:color w:val="000000"/>
        </w:rPr>
      </w:pPr>
    </w:p>
    <w:p w:rsidR="00612F80" w:rsidRPr="00E22DA7" w:rsidRDefault="00612F80" w:rsidP="00B76834">
      <w:pPr>
        <w:ind w:right="-1080"/>
      </w:pPr>
      <w:r w:rsidRPr="00E22DA7">
        <w:t>The Court Improvements Program, authorized by VAWA 2005, is designed to improve court responses to adult and youth domestic violence, dating violence, sexual assault, and stalking.  To effectively assess methods and to ensure that implementation of the Court Improvements Program reflects best practices for improving court responses to domestic violence, dating violence, sexual assault and stalking, OVW held a series of discussions to solicit feedback on proven techniques and examine what courts need.   Applicants who receive grants through the Court Improvements Program also will benefit from expert guidance and necessary technical and substantive support.</w:t>
      </w:r>
    </w:p>
    <w:p w:rsidR="00612F80" w:rsidRPr="00E22DA7" w:rsidRDefault="00612F80" w:rsidP="00B76834">
      <w:pPr>
        <w:ind w:right="-1080"/>
      </w:pPr>
    </w:p>
    <w:p w:rsidR="00612F80" w:rsidRPr="00E22DA7" w:rsidRDefault="00612F80" w:rsidP="00B76834">
      <w:pPr>
        <w:ind w:right="-1080"/>
      </w:pPr>
      <w:r w:rsidRPr="00E22DA7">
        <w:t xml:space="preserve">The Court Improvements Program will fund projects that improve internal civil and criminal court functions, responses, practices, and procedures and provide education for court-based and -related personnel on issues relating to victims' needs, including safety, security, privacy, confidentiality, and economic independence, as well as information about perpetrator behavior and best practices for holding perpetrators accountable.  </w:t>
      </w:r>
    </w:p>
    <w:p w:rsidR="00612F80" w:rsidRPr="00E22DA7" w:rsidRDefault="00612F80" w:rsidP="00B76834">
      <w:pPr>
        <w:ind w:right="-1080"/>
      </w:pPr>
    </w:p>
    <w:p w:rsidR="00612F80" w:rsidRDefault="00612F80" w:rsidP="00B76834">
      <w:pPr>
        <w:ind w:right="-1080"/>
      </w:pPr>
      <w:r w:rsidRPr="00E22DA7">
        <w:t xml:space="preserve">The first funding for this program was for FY 2008 when $2,820,000 million was appropriated to fund projects to improve court training and functions.  FY 2010 </w:t>
      </w:r>
      <w:r w:rsidR="001C15B7">
        <w:t>was</w:t>
      </w:r>
      <w:r w:rsidRPr="00E22DA7">
        <w:t xml:space="preserve"> the first year in which the office released an open solicitation for grants</w:t>
      </w:r>
      <w:r w:rsidRPr="003E21B2">
        <w:t xml:space="preserve">.  In response to this open solicitation, we received 45 applications requesting $11,346,678.31. We </w:t>
      </w:r>
      <w:r w:rsidR="003E21B2" w:rsidRPr="003E21B2">
        <w:t>m</w:t>
      </w:r>
      <w:r w:rsidRPr="003E21B2">
        <w:t>a</w:t>
      </w:r>
      <w:r w:rsidR="003E21B2" w:rsidRPr="003E21B2">
        <w:t>de</w:t>
      </w:r>
      <w:r w:rsidRPr="003E21B2">
        <w:t xml:space="preserve"> 2</w:t>
      </w:r>
      <w:r w:rsidR="003E21B2" w:rsidRPr="003E21B2">
        <w:t>1</w:t>
      </w:r>
      <w:r w:rsidRPr="003E21B2">
        <w:t xml:space="preserve"> awards for $3.8 million.</w:t>
      </w:r>
      <w:r w:rsidR="003E21B2" w:rsidRPr="003E21B2">
        <w:t xml:space="preserve">  In FY 2011, we received 47 applications, requesting $12.9 million.</w:t>
      </w:r>
      <w:r w:rsidRPr="00E22DA7">
        <w:t xml:space="preserve"> </w:t>
      </w:r>
    </w:p>
    <w:p w:rsidR="00C273CE" w:rsidRDefault="00C273CE" w:rsidP="00B76834">
      <w:pPr>
        <w:ind w:right="-1080"/>
      </w:pPr>
    </w:p>
    <w:p w:rsidR="00C273CE" w:rsidRPr="00E22DA7" w:rsidRDefault="00C273CE" w:rsidP="00B76834">
      <w:pPr>
        <w:ind w:right="-1080"/>
      </w:pPr>
    </w:p>
    <w:p w:rsidR="00612F80" w:rsidRPr="00E22DA7" w:rsidRDefault="00612F80" w:rsidP="00B76834">
      <w:pPr>
        <w:ind w:right="-1080"/>
      </w:pPr>
    </w:p>
    <w:p w:rsidR="00612F80" w:rsidRPr="00E22DA7" w:rsidRDefault="00612F80" w:rsidP="00B76834">
      <w:pPr>
        <w:ind w:left="1440" w:right="-1080" w:hanging="720"/>
        <w:rPr>
          <w:b/>
        </w:rPr>
      </w:pPr>
      <w:r w:rsidRPr="00E22DA7">
        <w:rPr>
          <w:b/>
        </w:rPr>
        <w:lastRenderedPageBreak/>
        <w:t>(1</w:t>
      </w:r>
      <w:r w:rsidR="00ED2BED">
        <w:rPr>
          <w:b/>
        </w:rPr>
        <w:t>1</w:t>
      </w:r>
      <w:r w:rsidRPr="00E22DA7">
        <w:rPr>
          <w:b/>
        </w:rPr>
        <w:t>)</w:t>
      </w:r>
      <w:r w:rsidRPr="00E22DA7">
        <w:rPr>
          <w:b/>
        </w:rPr>
        <w:tab/>
      </w:r>
      <w:r w:rsidRPr="00672191">
        <w:rPr>
          <w:b/>
        </w:rPr>
        <w:t>Grants to Indian Tribal Governments Program (Tribal Governments Program) – funded by set-asides</w:t>
      </w:r>
    </w:p>
    <w:p w:rsidR="00612F80" w:rsidRPr="00E22DA7" w:rsidRDefault="00612F80" w:rsidP="00B76834">
      <w:pPr>
        <w:ind w:right="-1080"/>
      </w:pPr>
    </w:p>
    <w:p w:rsidR="00612F80" w:rsidRPr="00E22DA7" w:rsidRDefault="00612F80" w:rsidP="00B76834">
      <w:pPr>
        <w:pStyle w:val="00Bodytext"/>
        <w:tabs>
          <w:tab w:val="left" w:pos="360"/>
        </w:tabs>
        <w:spacing w:after="0"/>
        <w:ind w:right="-1080"/>
        <w:rPr>
          <w:rFonts w:ascii="Times New Roman" w:hAnsi="Times New Roman"/>
          <w:color w:val="auto"/>
          <w:sz w:val="24"/>
          <w:szCs w:val="24"/>
        </w:rPr>
      </w:pPr>
      <w:r w:rsidRPr="00E22DA7">
        <w:rPr>
          <w:rFonts w:ascii="Times New Roman" w:hAnsi="Times New Roman"/>
          <w:sz w:val="24"/>
          <w:szCs w:val="24"/>
        </w:rPr>
        <w:t>The Tribal Governments Program</w:t>
      </w:r>
      <w:r w:rsidRPr="00E22DA7">
        <w:rPr>
          <w:rFonts w:ascii="Times New Roman" w:hAnsi="Times New Roman"/>
          <w:color w:val="auto"/>
          <w:sz w:val="24"/>
          <w:szCs w:val="24"/>
        </w:rPr>
        <w:t xml:space="preserve"> </w:t>
      </w:r>
      <w:r w:rsidRPr="00E22DA7">
        <w:rPr>
          <w:rFonts w:ascii="Times New Roman" w:hAnsi="Times New Roman"/>
          <w:sz w:val="24"/>
          <w:szCs w:val="24"/>
        </w:rPr>
        <w:t xml:space="preserve">is designed to enhance the ability of tribes to respond to violent crimes against American Indian women, enhance victim safety, and develop education and prevention strategies.  Congress authorized the program in Title IX of VAWA 2005 to replace OVW’s STOP Violence Against Indian Women Program, which was previously funded by a five percent set-aside in the STOP Program.  The Tribal Governments Program is funded by set-asides from seven other </w:t>
      </w:r>
      <w:r w:rsidRPr="00E22DA7">
        <w:rPr>
          <w:rFonts w:ascii="Times New Roman" w:hAnsi="Times New Roman"/>
          <w:color w:val="auto"/>
          <w:sz w:val="24"/>
          <w:szCs w:val="24"/>
        </w:rPr>
        <w:t xml:space="preserve">OVW grant programs:  STOP, Arrest, Rural, LAV, Supervised Visitation, Transitional Housing, and Court Improvements. </w:t>
      </w:r>
    </w:p>
    <w:p w:rsidR="00612F80" w:rsidRPr="00E22DA7" w:rsidRDefault="00612F80" w:rsidP="00B76834">
      <w:pPr>
        <w:pStyle w:val="00Bodytext"/>
        <w:tabs>
          <w:tab w:val="left" w:pos="360"/>
        </w:tabs>
        <w:spacing w:after="0"/>
        <w:ind w:right="-1080"/>
        <w:rPr>
          <w:rFonts w:ascii="Times New Roman" w:hAnsi="Times New Roman"/>
          <w:sz w:val="24"/>
          <w:szCs w:val="24"/>
        </w:rPr>
      </w:pPr>
    </w:p>
    <w:p w:rsidR="00612F80" w:rsidRPr="00E22DA7" w:rsidRDefault="00612F80" w:rsidP="00B76834">
      <w:pPr>
        <w:ind w:right="-1080"/>
        <w:rPr>
          <w:b/>
        </w:rPr>
      </w:pPr>
      <w:r w:rsidRPr="00E22DA7">
        <w:t xml:space="preserve">The Tribal Government Program awards funds to Indian tribal governments and their designees to develop a comprehensive, multi-faceted response to violence against Indian women.  Funds may be used for a broad spectrum of activities:  developing and enhancing tribal governments’ response to violence against Indian women; strengthening tribal criminal justice systems; improving services for Indian women who are victims of violence; creating community education and prevention campaigns; addressing the needs of children who witness domestic violence; providing supervised visitation and safe exchange programs; providing transitional housing assistance; and providing </w:t>
      </w:r>
      <w:r w:rsidRPr="00E22DA7">
        <w:rPr>
          <w:color w:val="000000"/>
        </w:rPr>
        <w:t>legal advice and representation to survivors of violence and addressing teen dating violence.</w:t>
      </w:r>
    </w:p>
    <w:p w:rsidR="00612F80" w:rsidRPr="00E22DA7" w:rsidRDefault="00612F80" w:rsidP="00B76834">
      <w:pPr>
        <w:autoSpaceDE w:val="0"/>
        <w:autoSpaceDN w:val="0"/>
        <w:adjustRightInd w:val="0"/>
        <w:ind w:right="-1080" w:firstLine="360"/>
      </w:pPr>
    </w:p>
    <w:p w:rsidR="00612F80" w:rsidRPr="00E22DA7" w:rsidRDefault="00612F80" w:rsidP="00B76834">
      <w:pPr>
        <w:ind w:left="1440" w:right="-1080" w:hanging="720"/>
        <w:rPr>
          <w:b/>
        </w:rPr>
      </w:pPr>
      <w:r w:rsidRPr="00E22DA7">
        <w:rPr>
          <w:b/>
        </w:rPr>
        <w:t>(1</w:t>
      </w:r>
      <w:r w:rsidR="00ED2BED">
        <w:rPr>
          <w:b/>
        </w:rPr>
        <w:t>2</w:t>
      </w:r>
      <w:r w:rsidRPr="00E22DA7">
        <w:rPr>
          <w:b/>
        </w:rPr>
        <w:t>)</w:t>
      </w:r>
      <w:r w:rsidRPr="00E22DA7">
        <w:rPr>
          <w:b/>
        </w:rPr>
        <w:tab/>
      </w:r>
      <w:r w:rsidRPr="00672191">
        <w:rPr>
          <w:b/>
        </w:rPr>
        <w:t>Tribal Domestic Violence and Sexual Assault Coalitions Grant Program (Tribal Coalitions Program) – funded by set-asides</w:t>
      </w:r>
    </w:p>
    <w:p w:rsidR="00612F80" w:rsidRPr="00E22DA7" w:rsidRDefault="00612F80" w:rsidP="00B76834">
      <w:pPr>
        <w:ind w:right="-1080"/>
      </w:pPr>
    </w:p>
    <w:p w:rsidR="00612F80" w:rsidRPr="00E22DA7" w:rsidRDefault="00612F80" w:rsidP="00B76834">
      <w:pPr>
        <w:pStyle w:val="Default"/>
        <w:ind w:right="-1080"/>
      </w:pPr>
      <w:r w:rsidRPr="00E22DA7">
        <w:t>The Tribal Coalitions Program, first authorized by VAWA 2000 and amended by subsequent legislation, builds the capacity of survivors, advocates, Indian women's organizations, and victim service providers to form nonprofit, nongovernmental tribal domestic violence and sexual assault coalitions to end violence against American Indian and Alaska Native women.  The program is funded by statutory set-asides from the STOP Program and SASP.</w:t>
      </w:r>
    </w:p>
    <w:p w:rsidR="00612F80" w:rsidRPr="00E22DA7" w:rsidRDefault="00612F80" w:rsidP="00B76834">
      <w:pPr>
        <w:autoSpaceDE w:val="0"/>
        <w:autoSpaceDN w:val="0"/>
        <w:adjustRightInd w:val="0"/>
        <w:ind w:right="-1080"/>
        <w:rPr>
          <w:color w:val="000000"/>
        </w:rPr>
      </w:pPr>
    </w:p>
    <w:p w:rsidR="00612F80" w:rsidRPr="00E22DA7" w:rsidRDefault="00612F80" w:rsidP="00B76834">
      <w:pPr>
        <w:autoSpaceDE w:val="0"/>
        <w:autoSpaceDN w:val="0"/>
        <w:adjustRightInd w:val="0"/>
        <w:ind w:right="-1080"/>
      </w:pPr>
      <w:r w:rsidRPr="00E22DA7">
        <w:t xml:space="preserve">Tribal Coalitions Program grants are used to increase awareness of domestic violence, sexual assault stalking and dating violence  committed against American Indian and Alaska Native women; enhance the response to violence against women at the tribal, federal, and state levels; and identify and provide technical assistance to coalition membership and tribal reservation communities to enhance access to essential services </w:t>
      </w:r>
      <w:r w:rsidRPr="00E22DA7">
        <w:rPr>
          <w:b/>
        </w:rPr>
        <w:t>.</w:t>
      </w:r>
    </w:p>
    <w:p w:rsidR="00612F80" w:rsidRPr="00E22DA7" w:rsidRDefault="00612F80" w:rsidP="00B76834">
      <w:pPr>
        <w:tabs>
          <w:tab w:val="left" w:pos="3420"/>
        </w:tabs>
        <w:autoSpaceDE w:val="0"/>
        <w:autoSpaceDN w:val="0"/>
        <w:adjustRightInd w:val="0"/>
        <w:ind w:right="-1080"/>
      </w:pPr>
    </w:p>
    <w:p w:rsidR="00612F80" w:rsidRPr="00E22DA7" w:rsidRDefault="00C66720" w:rsidP="00B76834">
      <w:pPr>
        <w:ind w:left="1440" w:right="-1080" w:hanging="720"/>
        <w:rPr>
          <w:b/>
        </w:rPr>
      </w:pPr>
      <w:r>
        <w:rPr>
          <w:b/>
        </w:rPr>
        <w:t>(1</w:t>
      </w:r>
      <w:r w:rsidR="00ED2BED">
        <w:rPr>
          <w:b/>
        </w:rPr>
        <w:t>3</w:t>
      </w:r>
      <w:r w:rsidR="00612F80" w:rsidRPr="00E22DA7">
        <w:rPr>
          <w:b/>
        </w:rPr>
        <w:t>)</w:t>
      </w:r>
      <w:r w:rsidR="00612F80" w:rsidRPr="00E22DA7">
        <w:rPr>
          <w:b/>
        </w:rPr>
        <w:tab/>
        <w:t>Grants to Enhance Culturally and Linguistically Specific Services for Victims of Domestic Violence, Dating Violence, Sexual Assault, and Stalking (Culturally and Linguistically Specific Services Program) – funded by set-asides</w:t>
      </w:r>
    </w:p>
    <w:p w:rsidR="00612F80" w:rsidRPr="00E22DA7" w:rsidRDefault="00612F80" w:rsidP="00B76834">
      <w:pPr>
        <w:ind w:right="-1080"/>
      </w:pPr>
    </w:p>
    <w:p w:rsidR="00612F80" w:rsidRPr="00E22DA7" w:rsidRDefault="00612F80" w:rsidP="00B76834">
      <w:pPr>
        <w:ind w:right="-1080"/>
      </w:pPr>
      <w:r w:rsidRPr="00E22DA7">
        <w:t>The Culturally and Linguistically Specific Services Program, authorized by VAWA 2005, will fund projects that promote the maintenance and replication of existing successful domestic violence, dating violence, sexual assault, and stalking community-based programs providing culturally and linguistically specific services and other resources. The program also will support the development of innovative culturally and linguistically specific strategies and projects to enhance access to services and resources for victims of violence against women.</w:t>
      </w:r>
    </w:p>
    <w:p w:rsidR="00612F80" w:rsidRPr="00E22DA7" w:rsidRDefault="00612F80" w:rsidP="00B76834">
      <w:pPr>
        <w:ind w:right="-1080"/>
      </w:pPr>
    </w:p>
    <w:p w:rsidR="00612F80" w:rsidRPr="00E22DA7" w:rsidRDefault="00612F80" w:rsidP="00B76834">
      <w:pPr>
        <w:ind w:right="-1080"/>
      </w:pPr>
      <w:r w:rsidRPr="00E22DA7">
        <w:t xml:space="preserve">OVW-funded projects will include those that increase a community’s capacity to provide culturally and linguistically specific resources and support for victims of domestic violence, dating violence, sexual assault, and stalking; strengthen criminal justice interventions by providing training for law enforcement, prosecution, courts, probation, and correctional facilities on culturally and linguistically specific responses </w:t>
      </w:r>
      <w:r w:rsidRPr="00E22DA7">
        <w:lastRenderedPageBreak/>
        <w:t>to crimes of violence against women; and enhance traditional victims services through the leadership of culturally and linguistically specific programs.</w:t>
      </w:r>
    </w:p>
    <w:p w:rsidR="00612F80" w:rsidRPr="00E22DA7" w:rsidRDefault="00612F80" w:rsidP="00B76834">
      <w:pPr>
        <w:ind w:right="-1080"/>
      </w:pPr>
    </w:p>
    <w:p w:rsidR="00612F80" w:rsidRPr="00E22DA7" w:rsidRDefault="00612F80" w:rsidP="00B76834">
      <w:pPr>
        <w:ind w:right="-1080"/>
      </w:pPr>
      <w:r w:rsidRPr="00E22DA7">
        <w:t xml:space="preserve">The Culturally and Linguistically Specific Services Program is funded through five-percent statutory set-asides in five other OVW grant programs:  the LAV, Rural, </w:t>
      </w:r>
      <w:r w:rsidR="00AF2ADC" w:rsidRPr="00E22DA7">
        <w:t>and Abuse</w:t>
      </w:r>
      <w:r w:rsidRPr="00E22DA7">
        <w:t xml:space="preserve"> in Later Life, Disabilities, and Arrest Programs.  </w:t>
      </w:r>
    </w:p>
    <w:p w:rsidR="00612F80" w:rsidRPr="00E22DA7" w:rsidRDefault="00612F80" w:rsidP="00B76834">
      <w:pPr>
        <w:autoSpaceDE w:val="0"/>
        <w:autoSpaceDN w:val="0"/>
        <w:adjustRightInd w:val="0"/>
      </w:pPr>
    </w:p>
    <w:p w:rsidR="00612F80" w:rsidRPr="00E22DA7" w:rsidRDefault="00612F80" w:rsidP="00B76834">
      <w:pPr>
        <w:autoSpaceDE w:val="0"/>
        <w:autoSpaceDN w:val="0"/>
        <w:adjustRightInd w:val="0"/>
        <w:ind w:left="1440" w:right="-1080" w:hanging="720"/>
        <w:rPr>
          <w:b/>
          <w:bCs/>
        </w:rPr>
      </w:pPr>
      <w:r w:rsidRPr="00E22DA7">
        <w:rPr>
          <w:b/>
          <w:bCs/>
        </w:rPr>
        <w:t>(1</w:t>
      </w:r>
      <w:r w:rsidR="00ED2BED">
        <w:rPr>
          <w:b/>
          <w:bCs/>
        </w:rPr>
        <w:t>4</w:t>
      </w:r>
      <w:r w:rsidRPr="00E22DA7">
        <w:rPr>
          <w:b/>
          <w:bCs/>
        </w:rPr>
        <w:t>)</w:t>
      </w:r>
      <w:r w:rsidRPr="00E22DA7">
        <w:rPr>
          <w:b/>
          <w:bCs/>
        </w:rPr>
        <w:tab/>
        <w:t>Sexual Assault Services Program (SASP Program)</w:t>
      </w:r>
      <w:r w:rsidRPr="00E22DA7">
        <w:rPr>
          <w:b/>
        </w:rPr>
        <w:t xml:space="preserve"> – </w:t>
      </w:r>
      <w:r w:rsidRPr="00E22DA7">
        <w:rPr>
          <w:b/>
          <w:bCs/>
        </w:rPr>
        <w:t>Grants to Culturally Specific Programs –funded by set-aside</w:t>
      </w:r>
    </w:p>
    <w:p w:rsidR="00612F80" w:rsidRPr="00E22DA7" w:rsidRDefault="00612F80" w:rsidP="00B76834">
      <w:pPr>
        <w:rPr>
          <w:b/>
        </w:rPr>
      </w:pPr>
    </w:p>
    <w:p w:rsidR="00612F80" w:rsidRPr="00E22DA7" w:rsidRDefault="00612F80" w:rsidP="000C3EA1">
      <w:pPr>
        <w:tabs>
          <w:tab w:val="left" w:pos="360"/>
          <w:tab w:val="left" w:pos="3420"/>
          <w:tab w:val="left" w:pos="9000"/>
        </w:tabs>
        <w:autoSpaceDE w:val="0"/>
        <w:autoSpaceDN w:val="0"/>
        <w:adjustRightInd w:val="0"/>
        <w:ind w:right="-540"/>
      </w:pPr>
      <w:r w:rsidRPr="00E22DA7">
        <w:t xml:space="preserve">SASP was created by VAWA 2005 as the first federal funding stream solely dedicated to the provision of direct intervention and related assistance for victims of sexual assault.  Its purpose is to provide intervention, advocacy, accompaniment, support services, and related assistance for adult, youth, and child victims of sexual assault, family and household members of victims and those collaterally affected by sexual assault.  The SASP Grants to Culturally Specific Program addresses the unique challenges that survivors from culturally specific communities face when seeking assistance, such as linguistic and cultural barriers.  Many advocates report that survivors are more inclined to seek services from organizations that are familiar with their culture, language and background.  Culturally specific community-based organizations are more likely to understand the complexity of obstacles to access of services for these individuals.  FY 2009 was the first year awards were made under this program.  </w:t>
      </w:r>
    </w:p>
    <w:p w:rsidR="00C66720" w:rsidRDefault="00C66720" w:rsidP="00C66720">
      <w:pPr>
        <w:autoSpaceDE w:val="0"/>
        <w:autoSpaceDN w:val="0"/>
        <w:adjustRightInd w:val="0"/>
      </w:pPr>
    </w:p>
    <w:p w:rsidR="00612F80" w:rsidRPr="00E22DA7" w:rsidRDefault="00C66720" w:rsidP="00C66720">
      <w:pPr>
        <w:autoSpaceDE w:val="0"/>
        <w:autoSpaceDN w:val="0"/>
        <w:adjustRightInd w:val="0"/>
        <w:ind w:left="1440" w:hanging="720"/>
        <w:rPr>
          <w:color w:val="000000"/>
        </w:rPr>
      </w:pPr>
      <w:r>
        <w:rPr>
          <w:b/>
          <w:color w:val="000000"/>
        </w:rPr>
        <w:t>(1</w:t>
      </w:r>
      <w:r w:rsidR="00ED2BED">
        <w:rPr>
          <w:b/>
          <w:color w:val="000000"/>
        </w:rPr>
        <w:t>5</w:t>
      </w:r>
      <w:r>
        <w:rPr>
          <w:b/>
          <w:color w:val="000000"/>
        </w:rPr>
        <w:t>)</w:t>
      </w:r>
      <w:r>
        <w:rPr>
          <w:b/>
          <w:color w:val="000000"/>
        </w:rPr>
        <w:tab/>
      </w:r>
      <w:r w:rsidR="00612F80" w:rsidRPr="00E22DA7">
        <w:rPr>
          <w:b/>
          <w:color w:val="000000"/>
        </w:rPr>
        <w:t>Sexual Assault Services Program (SASP Program) – Tribal Governments Grants Program – funded by set-aside</w:t>
      </w:r>
    </w:p>
    <w:p w:rsidR="00612F80" w:rsidRPr="00E22DA7" w:rsidRDefault="00612F80" w:rsidP="008D2BE2">
      <w:pPr>
        <w:tabs>
          <w:tab w:val="left" w:pos="0"/>
          <w:tab w:val="left" w:pos="3420"/>
        </w:tabs>
        <w:autoSpaceDE w:val="0"/>
        <w:autoSpaceDN w:val="0"/>
        <w:adjustRightInd w:val="0"/>
        <w:ind w:left="720"/>
        <w:rPr>
          <w:color w:val="000000"/>
        </w:rPr>
      </w:pPr>
    </w:p>
    <w:p w:rsidR="00612F80" w:rsidRDefault="00612F80" w:rsidP="000C3EA1">
      <w:pPr>
        <w:tabs>
          <w:tab w:val="left" w:pos="0"/>
          <w:tab w:val="left" w:pos="3420"/>
        </w:tabs>
        <w:autoSpaceDE w:val="0"/>
        <w:autoSpaceDN w:val="0"/>
        <w:adjustRightInd w:val="0"/>
        <w:ind w:right="-540"/>
        <w:rPr>
          <w:color w:val="000000"/>
        </w:rPr>
      </w:pPr>
      <w:r w:rsidRPr="00E22DA7">
        <w:rPr>
          <w:color w:val="000000"/>
        </w:rPr>
        <w:t xml:space="preserve">The SASP Tribal Governments Program provides funding for the operation of sexual assault programs or projects in Indian Country and </w:t>
      </w:r>
      <w:smartTag w:uri="urn:schemas-microsoft-com:office:smarttags" w:element="place">
        <w:smartTag w:uri="urn:schemas-microsoft-com:office:smarttags" w:element="PlaceName">
          <w:r w:rsidRPr="00E22DA7">
            <w:rPr>
              <w:color w:val="000000"/>
            </w:rPr>
            <w:t>Alaska</w:t>
          </w:r>
        </w:smartTag>
        <w:r w:rsidRPr="00E22DA7">
          <w:rPr>
            <w:color w:val="000000"/>
          </w:rPr>
          <w:t xml:space="preserve"> </w:t>
        </w:r>
        <w:smartTag w:uri="urn:schemas-microsoft-com:office:smarttags" w:element="PlaceName">
          <w:r w:rsidRPr="00E22DA7">
            <w:rPr>
              <w:color w:val="000000"/>
            </w:rPr>
            <w:t>Native</w:t>
          </w:r>
        </w:smartTag>
        <w:r w:rsidRPr="00E22DA7">
          <w:rPr>
            <w:color w:val="000000"/>
          </w:rPr>
          <w:t xml:space="preserve"> </w:t>
        </w:r>
        <w:smartTag w:uri="urn:schemas-microsoft-com:office:smarttags" w:element="PlaceType">
          <w:r w:rsidRPr="00E22DA7">
            <w:rPr>
              <w:color w:val="000000"/>
            </w:rPr>
            <w:t>Villages</w:t>
          </w:r>
        </w:smartTag>
      </w:smartTag>
      <w:r w:rsidRPr="00E22DA7">
        <w:rPr>
          <w:color w:val="000000"/>
        </w:rPr>
        <w:t xml:space="preserve"> to support the establishment, maintenance, and expansion of programs and projects to assist those victimized by sexual assault.</w:t>
      </w:r>
    </w:p>
    <w:p w:rsidR="00610B30" w:rsidRDefault="00610B30" w:rsidP="000C3EA1">
      <w:pPr>
        <w:tabs>
          <w:tab w:val="left" w:pos="0"/>
          <w:tab w:val="left" w:pos="3420"/>
        </w:tabs>
        <w:autoSpaceDE w:val="0"/>
        <w:autoSpaceDN w:val="0"/>
        <w:adjustRightInd w:val="0"/>
        <w:ind w:right="-540"/>
        <w:rPr>
          <w:color w:val="000000"/>
        </w:rPr>
      </w:pPr>
    </w:p>
    <w:p w:rsidR="00610B30" w:rsidRDefault="00610B30" w:rsidP="00610B30">
      <w:pPr>
        <w:autoSpaceDE w:val="0"/>
        <w:autoSpaceDN w:val="0"/>
        <w:adjustRightInd w:val="0"/>
        <w:ind w:left="1440" w:hanging="720"/>
        <w:rPr>
          <w:b/>
          <w:color w:val="000000"/>
        </w:rPr>
      </w:pPr>
      <w:r>
        <w:rPr>
          <w:b/>
          <w:color w:val="000000"/>
        </w:rPr>
        <w:t>(1</w:t>
      </w:r>
      <w:r w:rsidR="00ED2BED">
        <w:rPr>
          <w:b/>
          <w:color w:val="000000"/>
        </w:rPr>
        <w:t>6</w:t>
      </w:r>
      <w:r>
        <w:rPr>
          <w:b/>
          <w:color w:val="000000"/>
        </w:rPr>
        <w:t>)</w:t>
      </w:r>
      <w:r>
        <w:rPr>
          <w:b/>
          <w:color w:val="000000"/>
        </w:rPr>
        <w:tab/>
        <w:t>Homicide Reduction Initiative</w:t>
      </w:r>
      <w:r w:rsidRPr="00E22DA7">
        <w:rPr>
          <w:b/>
          <w:color w:val="000000"/>
        </w:rPr>
        <w:t xml:space="preserve"> – </w:t>
      </w:r>
      <w:r>
        <w:rPr>
          <w:b/>
          <w:color w:val="000000"/>
        </w:rPr>
        <w:t xml:space="preserve">Grants to Encourage Arrest Policies Program - </w:t>
      </w:r>
      <w:r w:rsidRPr="00E22DA7">
        <w:rPr>
          <w:b/>
          <w:color w:val="000000"/>
        </w:rPr>
        <w:t>funded by set-aside</w:t>
      </w:r>
    </w:p>
    <w:p w:rsidR="00610B30" w:rsidRDefault="00610B30" w:rsidP="00610B30">
      <w:pPr>
        <w:autoSpaceDE w:val="0"/>
        <w:autoSpaceDN w:val="0"/>
        <w:adjustRightInd w:val="0"/>
        <w:ind w:left="1440" w:hanging="720"/>
        <w:rPr>
          <w:b/>
          <w:color w:val="000000"/>
        </w:rPr>
      </w:pPr>
    </w:p>
    <w:p w:rsidR="00610B30" w:rsidRDefault="00610B30" w:rsidP="00610B30">
      <w:pPr>
        <w:autoSpaceDE w:val="0"/>
        <w:autoSpaceDN w:val="0"/>
        <w:adjustRightInd w:val="0"/>
        <w:rPr>
          <w:b/>
          <w:color w:val="000000"/>
        </w:rPr>
      </w:pPr>
      <w:r>
        <w:t>This initiative is designed to address the urgent problem of homicide of the abused, especially those in escalating domestic violence situations.  For 2013, $4,000,000 will be made available from the Grants to Encourage Arrest Policies Program.</w:t>
      </w:r>
    </w:p>
    <w:p w:rsidR="00610B30" w:rsidRDefault="00610B30" w:rsidP="00610B30">
      <w:pPr>
        <w:autoSpaceDE w:val="0"/>
        <w:autoSpaceDN w:val="0"/>
        <w:adjustRightInd w:val="0"/>
        <w:ind w:left="1440" w:hanging="720"/>
        <w:rPr>
          <w:b/>
          <w:color w:val="000000"/>
        </w:rPr>
      </w:pPr>
    </w:p>
    <w:p w:rsidR="00612F80" w:rsidRPr="00E22DA7" w:rsidRDefault="00612F80" w:rsidP="00B76834">
      <w:pPr>
        <w:autoSpaceDE w:val="0"/>
        <w:autoSpaceDN w:val="0"/>
        <w:adjustRightInd w:val="0"/>
        <w:ind w:right="-1080"/>
      </w:pPr>
    </w:p>
    <w:p w:rsidR="00612F80" w:rsidRPr="00E22DA7" w:rsidRDefault="00612F80" w:rsidP="00B76834">
      <w:pPr>
        <w:autoSpaceDE w:val="0"/>
        <w:autoSpaceDN w:val="0"/>
        <w:adjustRightInd w:val="0"/>
        <w:ind w:right="-1080"/>
        <w:rPr>
          <w:b/>
        </w:rPr>
      </w:pPr>
      <w:r w:rsidRPr="00E22DA7">
        <w:tab/>
      </w:r>
      <w:r w:rsidRPr="00E22DA7">
        <w:rPr>
          <w:b/>
        </w:rPr>
        <w:t>c.  Other Funding</w:t>
      </w:r>
    </w:p>
    <w:p w:rsidR="00F8544D" w:rsidRDefault="00F8544D" w:rsidP="00B76834">
      <w:pPr>
        <w:autoSpaceDE w:val="0"/>
        <w:autoSpaceDN w:val="0"/>
        <w:adjustRightInd w:val="0"/>
        <w:ind w:left="720" w:right="-1080" w:firstLine="720"/>
        <w:rPr>
          <w:b/>
          <w:bCs/>
        </w:rPr>
      </w:pPr>
    </w:p>
    <w:p w:rsidR="00612F80" w:rsidRPr="00E22DA7" w:rsidRDefault="00612F80" w:rsidP="009E7E2C">
      <w:pPr>
        <w:autoSpaceDE w:val="0"/>
        <w:autoSpaceDN w:val="0"/>
        <w:adjustRightInd w:val="0"/>
        <w:ind w:right="-1080" w:firstLine="720"/>
        <w:rPr>
          <w:b/>
          <w:bCs/>
        </w:rPr>
      </w:pPr>
      <w:r w:rsidRPr="00E22DA7">
        <w:rPr>
          <w:b/>
          <w:bCs/>
        </w:rPr>
        <w:t>(</w:t>
      </w:r>
      <w:r w:rsidR="0035183B">
        <w:rPr>
          <w:b/>
          <w:bCs/>
        </w:rPr>
        <w:t>1</w:t>
      </w:r>
      <w:r w:rsidRPr="00E22DA7">
        <w:rPr>
          <w:b/>
          <w:bCs/>
        </w:rPr>
        <w:t>)</w:t>
      </w:r>
      <w:r w:rsidRPr="00E22DA7">
        <w:rPr>
          <w:b/>
          <w:bCs/>
        </w:rPr>
        <w:tab/>
      </w:r>
      <w:r w:rsidRPr="00A441DE">
        <w:rPr>
          <w:b/>
          <w:bCs/>
        </w:rPr>
        <w:t>Analysis and Research on Violence Against Indian Women</w:t>
      </w:r>
      <w:r w:rsidRPr="00A441DE">
        <w:rPr>
          <w:b/>
        </w:rPr>
        <w:t xml:space="preserve"> </w:t>
      </w:r>
      <w:r w:rsidRPr="006E2544">
        <w:rPr>
          <w:b/>
        </w:rPr>
        <w:t xml:space="preserve">– </w:t>
      </w:r>
      <w:r w:rsidR="00F701B1">
        <w:rPr>
          <w:b/>
          <w:bCs/>
        </w:rPr>
        <w:t>$1,000,000</w:t>
      </w:r>
    </w:p>
    <w:p w:rsidR="00612F80" w:rsidRPr="00E22DA7" w:rsidRDefault="00612F80" w:rsidP="00B76834">
      <w:pPr>
        <w:autoSpaceDE w:val="0"/>
        <w:autoSpaceDN w:val="0"/>
        <w:adjustRightInd w:val="0"/>
        <w:ind w:right="-1080"/>
        <w:rPr>
          <w:b/>
          <w:bCs/>
        </w:rPr>
      </w:pPr>
    </w:p>
    <w:p w:rsidR="00612F80" w:rsidRPr="00E22DA7" w:rsidRDefault="00612F80" w:rsidP="00B76834">
      <w:pPr>
        <w:autoSpaceDE w:val="0"/>
        <w:autoSpaceDN w:val="0"/>
        <w:adjustRightInd w:val="0"/>
        <w:ind w:right="-1080"/>
      </w:pPr>
      <w:r w:rsidRPr="00E22DA7">
        <w:t xml:space="preserve">Section 904 of VAWA 2005 directed that the National Institute of Justice (NIJ) conduct a baseline study of violence against Indian women and further directed that OVW convene a task force to support that study.  NIJ’s program of research is examining violence committed against American Indian women in Indian Country, including domestic violence, dating violence, sexual assault, stalking, and murder; will evaluate the effectiveness of the Federal, State, and tribal response to violence against Indian women; and will propose recommendations for improvements.  </w:t>
      </w:r>
    </w:p>
    <w:p w:rsidR="00612F80" w:rsidRPr="00E22DA7" w:rsidRDefault="00612F80" w:rsidP="00B76834">
      <w:pPr>
        <w:autoSpaceDE w:val="0"/>
        <w:autoSpaceDN w:val="0"/>
        <w:adjustRightInd w:val="0"/>
        <w:ind w:right="-1080"/>
      </w:pPr>
    </w:p>
    <w:p w:rsidR="00612F80" w:rsidRPr="00E22DA7" w:rsidRDefault="00612F80" w:rsidP="00B76834">
      <w:pPr>
        <w:autoSpaceDE w:val="0"/>
        <w:autoSpaceDN w:val="0"/>
        <w:adjustRightInd w:val="0"/>
        <w:ind w:right="-1080"/>
      </w:pPr>
      <w:r w:rsidRPr="00E22DA7">
        <w:lastRenderedPageBreak/>
        <w:t xml:space="preserve">Section 904 also required the Attorney General to establish a Task Force to assist NIJ in developing and implementing its program of research on violence against Indian women.  The Attorney General, acting through the OVW Director, established the Section 904 Task Force on March 31, 2008.  The Section 904 Task Force was rechartered in March </w:t>
      </w:r>
      <w:r w:rsidRPr="001E4F7F">
        <w:t>2010 and</w:t>
      </w:r>
      <w:r w:rsidR="001E4F7F" w:rsidRPr="001E4F7F">
        <w:t xml:space="preserve"> we expect the members of the Task Force will be approved by the Attorney General over the summer and appointment letters will be sent shortly thereafter. It is anticipated that the next meeting of the Task Force will be in </w:t>
      </w:r>
      <w:r w:rsidR="001E4F7F">
        <w:t xml:space="preserve">the </w:t>
      </w:r>
      <w:r w:rsidR="001E4F7F" w:rsidRPr="001E4F7F">
        <w:t xml:space="preserve">early </w:t>
      </w:r>
      <w:r w:rsidR="00672191">
        <w:t>f</w:t>
      </w:r>
      <w:r w:rsidR="001E4F7F" w:rsidRPr="001E4F7F">
        <w:t>all of 2011.</w:t>
      </w:r>
      <w:r w:rsidR="001E4F7F" w:rsidRPr="001E4F7F">
        <w:br/>
      </w:r>
    </w:p>
    <w:p w:rsidR="00612F80" w:rsidRPr="00672191" w:rsidRDefault="009E7E2C" w:rsidP="00B76834">
      <w:pPr>
        <w:autoSpaceDE w:val="0"/>
        <w:autoSpaceDN w:val="0"/>
        <w:adjustRightInd w:val="0"/>
        <w:ind w:right="-1080"/>
        <w:rPr>
          <w:b/>
        </w:rPr>
      </w:pPr>
      <w:r>
        <w:tab/>
      </w:r>
      <w:r w:rsidR="00612F80" w:rsidRPr="00E22DA7">
        <w:rPr>
          <w:b/>
        </w:rPr>
        <w:t>(</w:t>
      </w:r>
      <w:r w:rsidR="0035183B">
        <w:rPr>
          <w:b/>
        </w:rPr>
        <w:t>2</w:t>
      </w:r>
      <w:r w:rsidR="00612F80" w:rsidRPr="00E22DA7">
        <w:rPr>
          <w:b/>
        </w:rPr>
        <w:t>)</w:t>
      </w:r>
      <w:r w:rsidR="00612F80" w:rsidRPr="00E22DA7">
        <w:rPr>
          <w:b/>
        </w:rPr>
        <w:tab/>
        <w:t xml:space="preserve">NIJ Research on Violence Against Women - </w:t>
      </w:r>
      <w:r w:rsidR="00612F80" w:rsidRPr="00672191">
        <w:rPr>
          <w:b/>
        </w:rPr>
        <w:t>$3,000,000</w:t>
      </w:r>
    </w:p>
    <w:p w:rsidR="00612F80" w:rsidRPr="00E22DA7" w:rsidRDefault="00612F80" w:rsidP="00B76834">
      <w:pPr>
        <w:autoSpaceDE w:val="0"/>
        <w:autoSpaceDN w:val="0"/>
        <w:adjustRightInd w:val="0"/>
        <w:ind w:right="-1080"/>
      </w:pPr>
    </w:p>
    <w:p w:rsidR="00612F80" w:rsidRDefault="00612F80" w:rsidP="000C3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autoSpaceDE w:val="0"/>
        <w:autoSpaceDN w:val="0"/>
        <w:adjustRightInd w:val="0"/>
        <w:ind w:right="-540"/>
        <w:rPr>
          <w:color w:val="000000"/>
        </w:rPr>
      </w:pPr>
      <w:r w:rsidRPr="00E22DA7">
        <w:rPr>
          <w:color w:val="000000"/>
        </w:rPr>
        <w:t xml:space="preserve">The NIJ Violence Against Women Research and Evaluation Program promotes the safety of women and family members, and strives to increase the efficiency and effectiveness of the criminal justice system's response to these crimes.  Toward that end, NIJ provides grants to researchers to study the causes and correlations of violence against women.  In addition, it creates partnerships with federal agencies to promote collaborative research, conduct field tests to test new approaches to combating violence against women and evaluate the effectiveness of those initiatives.  For 2011, $3 million is requested for the National Institute of Justice (NIJ) for research and evaluation of violence against women.  </w:t>
      </w:r>
    </w:p>
    <w:p w:rsidR="00DF0CA9" w:rsidRPr="00E22DA7" w:rsidRDefault="00DF0CA9" w:rsidP="000C3E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autoSpaceDE w:val="0"/>
        <w:autoSpaceDN w:val="0"/>
        <w:adjustRightInd w:val="0"/>
        <w:ind w:right="-540"/>
        <w:rPr>
          <w:color w:val="000000"/>
        </w:rPr>
      </w:pPr>
    </w:p>
    <w:p w:rsidR="00612F80" w:rsidRPr="00E22DA7" w:rsidRDefault="00612F80" w:rsidP="00B76834">
      <w:pPr>
        <w:autoSpaceDE w:val="0"/>
        <w:autoSpaceDN w:val="0"/>
        <w:adjustRightInd w:val="0"/>
        <w:ind w:right="-1080"/>
      </w:pPr>
    </w:p>
    <w:p w:rsidR="006E2544" w:rsidRDefault="009E7E2C" w:rsidP="00DF0CA9">
      <w:pPr>
        <w:autoSpaceDE w:val="0"/>
        <w:autoSpaceDN w:val="0"/>
        <w:adjustRightInd w:val="0"/>
        <w:ind w:right="-1080"/>
        <w:rPr>
          <w:b/>
        </w:rPr>
      </w:pPr>
      <w:r>
        <w:tab/>
      </w:r>
      <w:r w:rsidRPr="00672191">
        <w:rPr>
          <w:b/>
        </w:rPr>
        <w:t>(</w:t>
      </w:r>
      <w:r w:rsidR="00DF0CA9">
        <w:rPr>
          <w:b/>
        </w:rPr>
        <w:t>3</w:t>
      </w:r>
      <w:r w:rsidR="006E2544" w:rsidRPr="00672191">
        <w:rPr>
          <w:b/>
        </w:rPr>
        <w:t>)</w:t>
      </w:r>
      <w:r w:rsidR="006E2544" w:rsidRPr="00672191">
        <w:rPr>
          <w:b/>
        </w:rPr>
        <w:tab/>
        <w:t>National Resource Center – Workplace Response (Workplace Initiative)</w:t>
      </w:r>
      <w:r w:rsidR="004810BE">
        <w:rPr>
          <w:b/>
        </w:rPr>
        <w:t xml:space="preserve"> -</w:t>
      </w:r>
      <w:r w:rsidR="006E2544" w:rsidRPr="00672191">
        <w:rPr>
          <w:b/>
        </w:rPr>
        <w:t xml:space="preserve">   </w:t>
      </w:r>
      <w:r w:rsidR="004810BE">
        <w:rPr>
          <w:b/>
        </w:rPr>
        <w:t>$</w:t>
      </w:r>
      <w:r w:rsidR="006E2544" w:rsidRPr="00672191">
        <w:rPr>
          <w:b/>
        </w:rPr>
        <w:t>500,000</w:t>
      </w:r>
    </w:p>
    <w:p w:rsidR="00E770EF" w:rsidRDefault="00E770EF" w:rsidP="00B76834">
      <w:pPr>
        <w:rPr>
          <w:b/>
        </w:rPr>
      </w:pPr>
    </w:p>
    <w:p w:rsidR="00E770EF" w:rsidRPr="00E22DA7" w:rsidRDefault="00E770EF" w:rsidP="00E770EF">
      <w:pPr>
        <w:autoSpaceDE w:val="0"/>
        <w:autoSpaceDN w:val="0"/>
        <w:adjustRightInd w:val="0"/>
        <w:ind w:right="-1080"/>
      </w:pPr>
      <w:r w:rsidRPr="00E22DA7">
        <w:t xml:space="preserve">VAWA 2005 provided for an award to establish and operate a national resource center on workplace responses to assist victims of domestic and sexual violence.  OVW entered into a cooperative agreement with the Family Violence Prevention Fund (FVPF) and other partners to develop this center, which will provide information and assistance to employers and labor organizations to better equip them to respond to victims.  Proposed deliverables of the Center include a website, written products such as model policies and training curricula and updates on laws.  </w:t>
      </w:r>
    </w:p>
    <w:p w:rsidR="006E2544" w:rsidRDefault="006E2544" w:rsidP="00B76834"/>
    <w:p w:rsidR="00CB50EC" w:rsidRDefault="00CB50EC" w:rsidP="00CB50EC">
      <w:pPr>
        <w:autoSpaceDE w:val="0"/>
        <w:autoSpaceDN w:val="0"/>
        <w:adjustRightInd w:val="0"/>
        <w:ind w:right="-1080" w:firstLine="720"/>
        <w:rPr>
          <w:b/>
        </w:rPr>
      </w:pPr>
      <w:r w:rsidRPr="00672191">
        <w:rPr>
          <w:b/>
        </w:rPr>
        <w:t>(</w:t>
      </w:r>
      <w:r>
        <w:rPr>
          <w:b/>
        </w:rPr>
        <w:t>4</w:t>
      </w:r>
      <w:r w:rsidRPr="00672191">
        <w:rPr>
          <w:b/>
        </w:rPr>
        <w:t>)</w:t>
      </w:r>
      <w:r w:rsidRPr="00672191">
        <w:rPr>
          <w:b/>
        </w:rPr>
        <w:tab/>
      </w:r>
      <w:r>
        <w:rPr>
          <w:b/>
        </w:rPr>
        <w:t>Indian Country Sexual Assault Clearinghouse</w:t>
      </w:r>
      <w:r w:rsidRPr="00672191">
        <w:rPr>
          <w:b/>
        </w:rPr>
        <w:t xml:space="preserve"> –   </w:t>
      </w:r>
      <w:r>
        <w:rPr>
          <w:b/>
        </w:rPr>
        <w:t>$</w:t>
      </w:r>
      <w:r w:rsidRPr="00672191">
        <w:rPr>
          <w:b/>
        </w:rPr>
        <w:t>500,000</w:t>
      </w:r>
    </w:p>
    <w:p w:rsidR="00CB50EC" w:rsidRDefault="00CB50EC" w:rsidP="00CB50EC">
      <w:pPr>
        <w:rPr>
          <w:b/>
        </w:rPr>
      </w:pPr>
    </w:p>
    <w:p w:rsidR="004A62E6" w:rsidRDefault="004A62E6" w:rsidP="004A62E6">
      <w:pPr>
        <w:autoSpaceDE w:val="0"/>
        <w:autoSpaceDN w:val="0"/>
        <w:adjustRightInd w:val="0"/>
        <w:rPr>
          <w:bCs/>
        </w:rPr>
      </w:pPr>
      <w:r>
        <w:rPr>
          <w:bCs/>
        </w:rPr>
        <w:t>As previously requested in the FY 2011 Budget, OVW has developed a library of resources related to enhancing the ability of tribal governments to respond more effectively to sexual assault.  We anticipate that we will be able to complete a final draft of our Indian country Sexual Assault Protocol by mid-2010 and complete a test pilot of the sexual assault forensic evidence collection certification and training program by next year as well. The products</w:t>
      </w:r>
      <w:r w:rsidRPr="00D30E9B">
        <w:rPr>
          <w:bCs/>
        </w:rPr>
        <w:t xml:space="preserve"> </w:t>
      </w:r>
      <w:r>
        <w:rPr>
          <w:bCs/>
        </w:rPr>
        <w:t>related to sexual assault in Indian country that OVW has generated will not benefit tribal communities unless there is a long-term, ongoing effort to provide education, training, and technical assistance to tribal communities and their Federal, state, and local partners on how to properly investigate and prosecute sexual assault cases and otherwise meet the needs of Indian victims of sexual assault.</w:t>
      </w:r>
    </w:p>
    <w:p w:rsidR="004A62E6" w:rsidRDefault="004A62E6" w:rsidP="004A62E6">
      <w:pPr>
        <w:autoSpaceDE w:val="0"/>
        <w:autoSpaceDN w:val="0"/>
        <w:adjustRightInd w:val="0"/>
        <w:rPr>
          <w:bCs/>
        </w:rPr>
      </w:pPr>
    </w:p>
    <w:p w:rsidR="004A62E6" w:rsidRDefault="004A62E6" w:rsidP="004A62E6">
      <w:pPr>
        <w:autoSpaceDE w:val="0"/>
        <w:autoSpaceDN w:val="0"/>
        <w:adjustRightInd w:val="0"/>
        <w:rPr>
          <w:bCs/>
        </w:rPr>
      </w:pPr>
      <w:r>
        <w:rPr>
          <w:bCs/>
        </w:rPr>
        <w:t>OVW is therefore proposing that the Department of Justice support the establishment of a national clearinghouse on the sexual assault of American Indian and Alaska Native women. This project would offer a one-stop shop where tribes could request free on-site training and technical assistance on the following subjects:</w:t>
      </w:r>
    </w:p>
    <w:p w:rsidR="004A62E6" w:rsidRDefault="004A62E6" w:rsidP="004A62E6">
      <w:pPr>
        <w:numPr>
          <w:ilvl w:val="0"/>
          <w:numId w:val="16"/>
        </w:numPr>
        <w:autoSpaceDE w:val="0"/>
        <w:autoSpaceDN w:val="0"/>
        <w:adjustRightInd w:val="0"/>
        <w:rPr>
          <w:bCs/>
        </w:rPr>
      </w:pPr>
      <w:r>
        <w:rPr>
          <w:bCs/>
        </w:rPr>
        <w:t>Developing tribal sexual assault codes;</w:t>
      </w:r>
    </w:p>
    <w:p w:rsidR="004A62E6" w:rsidRDefault="004A62E6" w:rsidP="004A62E6">
      <w:pPr>
        <w:numPr>
          <w:ilvl w:val="0"/>
          <w:numId w:val="16"/>
        </w:numPr>
        <w:autoSpaceDE w:val="0"/>
        <w:autoSpaceDN w:val="0"/>
        <w:adjustRightInd w:val="0"/>
        <w:rPr>
          <w:bCs/>
        </w:rPr>
      </w:pPr>
      <w:r>
        <w:rPr>
          <w:bCs/>
        </w:rPr>
        <w:t>Dynamics of sexual assault cases for victim advocates, tribal law enforcement, prosecutors, and local medical professionals;</w:t>
      </w:r>
    </w:p>
    <w:p w:rsidR="004A62E6" w:rsidRDefault="004A62E6" w:rsidP="004A62E6">
      <w:pPr>
        <w:numPr>
          <w:ilvl w:val="0"/>
          <w:numId w:val="16"/>
        </w:numPr>
        <w:autoSpaceDE w:val="0"/>
        <w:autoSpaceDN w:val="0"/>
        <w:adjustRightInd w:val="0"/>
        <w:rPr>
          <w:bCs/>
        </w:rPr>
      </w:pPr>
      <w:r>
        <w:rPr>
          <w:bCs/>
        </w:rPr>
        <w:lastRenderedPageBreak/>
        <w:t>Sexual Assault Response Team development and implementation, including the development of sexual assault response protocols for victim advocates, law enforcement personnel, and healthcare professionals; and</w:t>
      </w:r>
    </w:p>
    <w:p w:rsidR="004A62E6" w:rsidRDefault="004A62E6" w:rsidP="004A62E6">
      <w:pPr>
        <w:numPr>
          <w:ilvl w:val="0"/>
          <w:numId w:val="16"/>
        </w:numPr>
        <w:autoSpaceDE w:val="0"/>
        <w:autoSpaceDN w:val="0"/>
        <w:adjustRightInd w:val="0"/>
        <w:rPr>
          <w:bCs/>
        </w:rPr>
      </w:pPr>
      <w:r>
        <w:rPr>
          <w:bCs/>
        </w:rPr>
        <w:t>Sexual assault forensic evidence collection certification and training for tribal communities that are without access to SANE certified health professionals.</w:t>
      </w:r>
    </w:p>
    <w:p w:rsidR="004A62E6" w:rsidRDefault="004A62E6" w:rsidP="004A62E6">
      <w:pPr>
        <w:autoSpaceDE w:val="0"/>
        <w:autoSpaceDN w:val="0"/>
        <w:adjustRightInd w:val="0"/>
        <w:rPr>
          <w:bCs/>
        </w:rPr>
      </w:pPr>
    </w:p>
    <w:p w:rsidR="004A62E6" w:rsidRDefault="004A62E6" w:rsidP="004A62E6">
      <w:pPr>
        <w:autoSpaceDE w:val="0"/>
        <w:autoSpaceDN w:val="0"/>
        <w:adjustRightInd w:val="0"/>
        <w:rPr>
          <w:bCs/>
        </w:rPr>
      </w:pPr>
      <w:r>
        <w:rPr>
          <w:bCs/>
        </w:rPr>
        <w:t>OVW envisions that the clearinghouse would progressively evolve over the years and eventually be capable of tracking emerging trends in the field, and assist OVW with developing the global perspective on sexual assault in Indian country that is currently lacking.</w:t>
      </w:r>
    </w:p>
    <w:p w:rsidR="00CB50EC" w:rsidRPr="00E22DA7" w:rsidRDefault="00CB50EC" w:rsidP="00CB50EC">
      <w:pPr>
        <w:autoSpaceDE w:val="0"/>
        <w:autoSpaceDN w:val="0"/>
        <w:adjustRightInd w:val="0"/>
        <w:ind w:right="-1080"/>
      </w:pPr>
      <w:r w:rsidRPr="00E22DA7">
        <w:t xml:space="preserve">.  </w:t>
      </w:r>
    </w:p>
    <w:p w:rsidR="00612F80" w:rsidRPr="00E22DA7" w:rsidRDefault="00612F80" w:rsidP="002D56F5">
      <w:pPr>
        <w:pStyle w:val="xl19"/>
        <w:spacing w:before="0" w:after="0"/>
        <w:ind w:right="-540"/>
        <w:rPr>
          <w:b/>
          <w:szCs w:val="24"/>
        </w:rPr>
      </w:pPr>
      <w:bookmarkStart w:id="6" w:name="SP;f1c50000821b0"/>
      <w:bookmarkStart w:id="7" w:name="SP;58730000872b1"/>
      <w:bookmarkStart w:id="8" w:name="SP;d08f0000f5f67"/>
      <w:bookmarkStart w:id="9" w:name="SP;0bd500007a412"/>
      <w:bookmarkStart w:id="10" w:name="SP;8b16000077793"/>
      <w:bookmarkStart w:id="11" w:name="SP;2a4b0000e5562"/>
      <w:bookmarkStart w:id="12" w:name="SP;526b000068e67"/>
      <w:bookmarkStart w:id="13" w:name="SP;a79d0000944d2"/>
      <w:bookmarkStart w:id="14" w:name="SP;f7fb0000553d1"/>
      <w:bookmarkStart w:id="15" w:name="SP;49c500002e2a1"/>
      <w:bookmarkStart w:id="16" w:name="SP;d86d0000be040"/>
      <w:bookmarkStart w:id="17" w:name="SP;f93f00008d291"/>
      <w:bookmarkStart w:id="18" w:name="SP;9bab000016341"/>
      <w:bookmarkStart w:id="19" w:name="SP;fe00000056fa7"/>
      <w:bookmarkStart w:id="20" w:name="SP;61150000440b0"/>
      <w:bookmarkStart w:id="21" w:name="SP;4d8a000011f17"/>
      <w:bookmarkStart w:id="22" w:name="N_2"/>
      <w:bookmarkStart w:id="23" w:name="N_4"/>
      <w:bookmarkStart w:id="24" w:name="IB6E79433592E11DCBE379C1672D69313"/>
      <w:bookmarkStart w:id="25" w:name="IB6E79434592E11DCBE379C1672D69313"/>
      <w:bookmarkStart w:id="26" w:name="IB6E7BB40592E11DCBE379C1672D69313"/>
      <w:bookmarkStart w:id="27" w:name="I27904623734011DC83D4ACB6447D5F0B"/>
      <w:bookmarkStart w:id="28" w:name="I27901F13734011DC83D4ACB6447D5F0B"/>
      <w:bookmarkStart w:id="29" w:name="I27906D35734011DC83D4ACB6447D5F0B"/>
      <w:bookmarkStart w:id="30" w:name="I27909440734011DC83D4ACB6447D5F0B"/>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E22DA7">
        <w:rPr>
          <w:iCs/>
          <w:szCs w:val="24"/>
        </w:rPr>
        <w:tab/>
      </w:r>
      <w:proofErr w:type="gramStart"/>
      <w:r w:rsidRPr="005204C0">
        <w:rPr>
          <w:b/>
          <w:iCs/>
          <w:szCs w:val="24"/>
        </w:rPr>
        <w:t xml:space="preserve">d.  </w:t>
      </w:r>
      <w:r w:rsidRPr="005204C0">
        <w:rPr>
          <w:b/>
          <w:szCs w:val="24"/>
        </w:rPr>
        <w:t>Management</w:t>
      </w:r>
      <w:proofErr w:type="gramEnd"/>
      <w:r w:rsidRPr="005204C0">
        <w:rPr>
          <w:b/>
          <w:szCs w:val="24"/>
        </w:rPr>
        <w:t xml:space="preserve"> and Administration Expenses – </w:t>
      </w:r>
      <w:r w:rsidR="004810BE">
        <w:rPr>
          <w:b/>
          <w:szCs w:val="24"/>
        </w:rPr>
        <w:t>$</w:t>
      </w:r>
      <w:r w:rsidR="004A62E6">
        <w:rPr>
          <w:b/>
          <w:szCs w:val="24"/>
        </w:rPr>
        <w:t>18,</w:t>
      </w:r>
      <w:r w:rsidR="00BC42F7">
        <w:rPr>
          <w:b/>
          <w:szCs w:val="24"/>
        </w:rPr>
        <w:t>782</w:t>
      </w:r>
      <w:r w:rsidR="004A62E6">
        <w:rPr>
          <w:b/>
          <w:szCs w:val="24"/>
        </w:rPr>
        <w:t>,000</w:t>
      </w:r>
    </w:p>
    <w:p w:rsidR="00612F80" w:rsidRPr="00E22DA7" w:rsidRDefault="00612F80" w:rsidP="002D56F5">
      <w:pPr>
        <w:pStyle w:val="xl19"/>
        <w:spacing w:before="0" w:after="0"/>
        <w:ind w:right="-540"/>
        <w:rPr>
          <w:szCs w:val="24"/>
        </w:rPr>
      </w:pPr>
    </w:p>
    <w:p w:rsidR="00612F80" w:rsidRPr="00E22DA7" w:rsidRDefault="00612F80" w:rsidP="002D56F5">
      <w:pPr>
        <w:ind w:right="-540"/>
      </w:pPr>
      <w:r w:rsidRPr="00E22DA7">
        <w:t xml:space="preserve">OVW was originally established as two separate offices: a program office in OJP and a policy office within the Office of the Associate Attorney General.  In late 2002 Congress established it as a separate office in the Department of Justice.  Since that time, OVW has been working to become an independent office with the full staffing and administrative services to support the mission of the Office.  Each year, OVW has positioned itself to become more self-sufficient in performing its grant management and oversight functions.  </w:t>
      </w:r>
    </w:p>
    <w:p w:rsidR="00612F80" w:rsidRPr="00E22DA7" w:rsidRDefault="00612F80" w:rsidP="002D56F5">
      <w:pPr>
        <w:ind w:right="-540"/>
      </w:pPr>
    </w:p>
    <w:p w:rsidR="00D31142" w:rsidRPr="00BC42F7" w:rsidRDefault="00612F80" w:rsidP="003D58CF">
      <w:r w:rsidRPr="00E22DA7">
        <w:t xml:space="preserve">Prior to FY 2009, OVW management and administration (M&amp;A) funding levels were developed by assessing (in line with the statutory caps on M&amp;A) a percentage of program dollars.  In FY 2009, OVW was allocated management and administration funding through a separate Department of Justice Salaries and Expense Appropriation.  M&amp;A expenses include staff salaries and benefits, travel and training </w:t>
      </w:r>
      <w:r w:rsidRPr="00BC42F7">
        <w:t>expenses, space, telecommunications and other necessary expens</w:t>
      </w:r>
      <w:r w:rsidR="00AA64AF">
        <w:t>es to support the mission of OV</w:t>
      </w:r>
      <w:r w:rsidR="00D37378">
        <w:t>W</w:t>
      </w:r>
      <w:r w:rsidR="00AA64AF">
        <w:t xml:space="preserve">.  </w:t>
      </w:r>
      <w:r w:rsidR="00BC42F7" w:rsidRPr="00BC42F7">
        <w:t>In FY 2012, OVW’s management and administration (M&amp;A) expenses are not expressly provided</w:t>
      </w:r>
      <w:r w:rsidR="00BC42F7">
        <w:t xml:space="preserve"> for in the Appropriations Act; the joint explanatory statement </w:t>
      </w:r>
      <w:r w:rsidR="009B29BB">
        <w:t>noted that M&amp;A should</w:t>
      </w:r>
      <w:r w:rsidR="00BC42F7" w:rsidRPr="00BC42F7">
        <w:t xml:space="preserve"> b</w:t>
      </w:r>
      <w:r w:rsidR="009B29BB">
        <w:t>e supported with program fundin</w:t>
      </w:r>
      <w:r w:rsidR="003D58CF">
        <w:t>g</w:t>
      </w:r>
      <w:r w:rsidR="00BC42F7" w:rsidRPr="00BC42F7">
        <w:t>.  The FY 2013 Request seeks this same structure.</w:t>
      </w:r>
      <w:r w:rsidR="003D58CF">
        <w:t xml:space="preserve">  </w:t>
      </w:r>
      <w:r w:rsidR="00D31142" w:rsidRPr="00BC42F7">
        <w:t xml:space="preserve">In the FY 2013 </w:t>
      </w:r>
      <w:r w:rsidR="00D37378">
        <w:t>Budget</w:t>
      </w:r>
      <w:r w:rsidR="00D31142" w:rsidRPr="00BC42F7">
        <w:t xml:space="preserve">, the Department requests that peer review and previously distributed </w:t>
      </w:r>
      <w:r w:rsidR="00FA0BD0">
        <w:t xml:space="preserve">contractor costs be funded from within program funds separate from salaries and expenses.  </w:t>
      </w:r>
      <w:bookmarkStart w:id="31" w:name="OLE_LINK1"/>
      <w:bookmarkStart w:id="32" w:name="OLE_LINK2"/>
      <w:r w:rsidR="00FA0BD0">
        <w:t xml:space="preserve">This will allow for flexibility with peer review costs and keep salaries and expenses funding more directly linked to employee salaries and expenses.  </w:t>
      </w:r>
      <w:bookmarkEnd w:id="31"/>
      <w:bookmarkEnd w:id="32"/>
    </w:p>
    <w:p w:rsidR="00612F80" w:rsidRPr="00E22DA7" w:rsidRDefault="00612F80" w:rsidP="002D56F5">
      <w:pPr>
        <w:ind w:right="-540"/>
      </w:pPr>
    </w:p>
    <w:p w:rsidR="00612F80" w:rsidRPr="00E22DA7" w:rsidRDefault="00612F80" w:rsidP="002D56F5">
      <w:pPr>
        <w:ind w:right="-540"/>
      </w:pPr>
      <w:r w:rsidRPr="00E22DA7">
        <w:t>OVW staff are divided into five divisions.  First, the Program Division has primary responsibility for the development, oversight, and day-to-day management of the 21 grant programs and 2500 grant awards administered by OVW.  Functions include, but are not limited to:  researching and developing newly authorized grant programs; drafting solicitations (requests for proposals); responding to programmatic inquiries; overseeing and conducting internal review and peer review of all applications; analyzing final application scores and recommending a diverse pool of projects for support; drafting and processing all necessary award documents; developing and conducting annual "new grantee" orientation programs; assisting grantees with implementing their projects; ensuring compliance with federal regulations; identifying appropriate technical assistance; monitoring grantee progress in meeting their goals and objectives; developing, implementing, and managing substantive technical assistance for grant recipients; and developing and overseeing national demonstration initiatives to test promising practices.</w:t>
      </w:r>
    </w:p>
    <w:p w:rsidR="00612F80" w:rsidRPr="00E22DA7" w:rsidRDefault="00612F80" w:rsidP="002D56F5">
      <w:pPr>
        <w:pStyle w:val="xl19"/>
        <w:spacing w:before="0" w:after="0"/>
        <w:ind w:right="-540"/>
        <w:rPr>
          <w:szCs w:val="24"/>
        </w:rPr>
      </w:pPr>
    </w:p>
    <w:p w:rsidR="00612F80" w:rsidRPr="00E22DA7" w:rsidRDefault="00612F80" w:rsidP="002D56F5">
      <w:pPr>
        <w:pStyle w:val="xl19"/>
        <w:spacing w:before="0" w:after="0"/>
        <w:ind w:right="-540"/>
        <w:rPr>
          <w:szCs w:val="24"/>
        </w:rPr>
      </w:pPr>
      <w:r w:rsidRPr="00E22DA7">
        <w:rPr>
          <w:szCs w:val="24"/>
        </w:rPr>
        <w:t xml:space="preserve">Second, the established Grants Financial Management Division </w:t>
      </w:r>
      <w:r w:rsidR="00276013">
        <w:rPr>
          <w:szCs w:val="24"/>
        </w:rPr>
        <w:t>is continuing to transition</w:t>
      </w:r>
      <w:r w:rsidRPr="00E22DA7">
        <w:rPr>
          <w:szCs w:val="24"/>
        </w:rPr>
        <w:t xml:space="preserve"> services from OJP to OVW.  This Division provide</w:t>
      </w:r>
      <w:r w:rsidR="00276013">
        <w:rPr>
          <w:szCs w:val="24"/>
        </w:rPr>
        <w:t>s</w:t>
      </w:r>
      <w:r w:rsidRPr="00E22DA7">
        <w:rPr>
          <w:szCs w:val="24"/>
        </w:rPr>
        <w:t xml:space="preserve"> a complete array of grants financial management services, to include reviewing all program solicitations for financial and administrative completeness and accuracy; reviewing and approving all application budgets; processing grant awards, including grant </w:t>
      </w:r>
      <w:r w:rsidRPr="00E22DA7">
        <w:rPr>
          <w:szCs w:val="24"/>
        </w:rPr>
        <w:lastRenderedPageBreak/>
        <w:t>adjustment notifications to applicants; reviewing pre-agreement cost requests; providing technical assistance to OVW staff, applicants and recipients on financial matters; providing financial management training; and providing assistance with grant award close-outs.</w:t>
      </w:r>
    </w:p>
    <w:p w:rsidR="00612F80" w:rsidRPr="00E22DA7" w:rsidRDefault="00612F80" w:rsidP="002D56F5">
      <w:pPr>
        <w:pStyle w:val="xl19"/>
        <w:spacing w:before="0" w:after="0"/>
        <w:ind w:right="-540"/>
        <w:rPr>
          <w:szCs w:val="24"/>
        </w:rPr>
      </w:pPr>
    </w:p>
    <w:p w:rsidR="00612F80" w:rsidRPr="00E22DA7" w:rsidRDefault="00612F80" w:rsidP="002D56F5">
      <w:pPr>
        <w:autoSpaceDE w:val="0"/>
        <w:autoSpaceDN w:val="0"/>
        <w:adjustRightInd w:val="0"/>
        <w:ind w:right="-540"/>
      </w:pPr>
      <w:r w:rsidRPr="00E22DA7">
        <w:t>Third, the Legal Counsel Division provides legal and policy support for the administration of OVW and its grant programs.  Legal Counsel Division responsibilities include providing legal advice and guidance to OVW’s management, staff, and award recipients to ensure compliance with applicable laws and regulations; reviewing and development of legislation, regulations, and policies regarding violence against women; reviewing and preparing reports for Congress; drafting speeches and testimony; and administering the Office’s ethics and Freedom of Information Act (FOIA) programs.</w:t>
      </w:r>
    </w:p>
    <w:p w:rsidR="00612F80" w:rsidRPr="00E22DA7" w:rsidRDefault="00612F80" w:rsidP="002D56F5">
      <w:pPr>
        <w:autoSpaceDE w:val="0"/>
        <w:autoSpaceDN w:val="0"/>
        <w:adjustRightInd w:val="0"/>
        <w:ind w:right="-540"/>
      </w:pPr>
    </w:p>
    <w:p w:rsidR="00AB14EA" w:rsidRPr="00ED2BED" w:rsidRDefault="00612F80" w:rsidP="00AB14EA">
      <w:pPr>
        <w:autoSpaceDE w:val="0"/>
        <w:autoSpaceDN w:val="0"/>
        <w:adjustRightInd w:val="0"/>
        <w:ind w:right="-540"/>
        <w:rPr>
          <w:color w:val="000000"/>
        </w:rPr>
      </w:pPr>
      <w:r w:rsidRPr="00ED2BED">
        <w:rPr>
          <w:color w:val="000000"/>
        </w:rPr>
        <w:t xml:space="preserve">Fourth, the Administration Division is responsible for providing administrative advice and guidance to OVW’s executives, managers and staff in the areas of budget, financial management, grants accounting, acquisition services, records management, human resources liaison, voice and data communications, information technology and facilities coordination.  </w:t>
      </w:r>
    </w:p>
    <w:p w:rsidR="00AB14EA" w:rsidRDefault="00AB14EA" w:rsidP="00AB14EA">
      <w:pPr>
        <w:autoSpaceDE w:val="0"/>
        <w:autoSpaceDN w:val="0"/>
        <w:adjustRightInd w:val="0"/>
        <w:ind w:right="-540"/>
        <w:rPr>
          <w:color w:val="000000"/>
        </w:rPr>
      </w:pPr>
    </w:p>
    <w:p w:rsidR="00AB14EA" w:rsidRPr="00ED2BED" w:rsidRDefault="00AB14EA" w:rsidP="00AB14EA">
      <w:pPr>
        <w:autoSpaceDE w:val="0"/>
        <w:autoSpaceDN w:val="0"/>
        <w:adjustRightInd w:val="0"/>
        <w:ind w:right="-540"/>
        <w:sectPr w:rsidR="00AB14EA" w:rsidRPr="00ED2BED" w:rsidSect="008D2BE2">
          <w:headerReference w:type="even" r:id="rId12"/>
          <w:headerReference w:type="default" r:id="rId13"/>
          <w:headerReference w:type="first" r:id="rId14"/>
          <w:type w:val="continuous"/>
          <w:pgSz w:w="12240" w:h="15840" w:code="1"/>
          <w:pgMar w:top="1008" w:right="1440" w:bottom="1008" w:left="1440" w:header="432" w:footer="432" w:gutter="0"/>
          <w:cols w:space="720"/>
        </w:sectPr>
      </w:pPr>
      <w:r w:rsidRPr="00ED2BED">
        <w:t xml:space="preserve">Fifth, the Office of the Director comprises the Director (PAS) and four Schedule C appointments:  a Principal Deputy Director, a Deputy Director, a Confidential Assistant to the Director, , and a Senior Policy Advisor.  It also includes a career Deputy Director for Tribal Affairs.   This team is responsible for Office oversight and coordination of policy development, program development, and the management and administration of OVW.  In addition, three Public Affairs Specialists coordinate all press and media events for the Office; develop and disseminate resource materials; update the website; write speeches and talking points for senior staff; facilitate outreach to leaders in the field to identify and address emerging issues; and coordinate meetings and exchanges with international delegations. </w:t>
      </w:r>
    </w:p>
    <w:p w:rsidR="00612F80" w:rsidRPr="009136AE" w:rsidRDefault="00612F80" w:rsidP="00593B68">
      <w:pPr>
        <w:numPr>
          <w:ilvl w:val="0"/>
          <w:numId w:val="20"/>
        </w:numPr>
        <w:tabs>
          <w:tab w:val="left" w:pos="1080"/>
          <w:tab w:val="left" w:pos="3600"/>
          <w:tab w:val="left" w:pos="5580"/>
        </w:tabs>
        <w:rPr>
          <w:iCs/>
        </w:rPr>
      </w:pPr>
      <w:r w:rsidRPr="009136AE">
        <w:rPr>
          <w:iCs/>
        </w:rPr>
        <w:lastRenderedPageBreak/>
        <w:t>Performance and Resource Tables</w:t>
      </w:r>
    </w:p>
    <w:p w:rsidR="00612F80" w:rsidRDefault="00B65224" w:rsidP="00BD00DC">
      <w:pPr>
        <w:rPr>
          <w:i/>
        </w:rPr>
      </w:pPr>
      <w:r w:rsidRPr="000A3E86">
        <w:rPr>
          <w:i/>
          <w:iCs/>
        </w:rPr>
        <w:object w:dxaOrig="14031" w:dyaOrig="9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5pt;height:327.75pt" o:ole="">
            <v:imagedata r:id="rId15" o:title="" cropright="2828f"/>
          </v:shape>
          <o:OLEObject Type="Embed" ProgID="Excel.Sheet.8" ShapeID="_x0000_i1025" DrawAspect="Content" ObjectID="_1390287425" r:id="rId16"/>
        </w:object>
      </w:r>
      <w:r w:rsidR="00612F80" w:rsidRPr="0026799E">
        <w:rPr>
          <w:i/>
        </w:rPr>
        <w:t xml:space="preserve"> </w:t>
      </w:r>
    </w:p>
    <w:p w:rsidR="00612F80" w:rsidRDefault="00612F80" w:rsidP="002D56F5">
      <w:pPr>
        <w:tabs>
          <w:tab w:val="left" w:pos="13140"/>
        </w:tabs>
        <w:ind w:right="-540"/>
        <w:rPr>
          <w:i/>
          <w:iCs/>
        </w:rPr>
      </w:pPr>
      <w:r>
        <w:rPr>
          <w:i/>
          <w:iCs/>
        </w:rPr>
        <w:br w:type="page"/>
      </w:r>
      <w:r w:rsidR="00C425C9" w:rsidRPr="000A3E86">
        <w:rPr>
          <w:i/>
          <w:iCs/>
        </w:rPr>
        <w:object w:dxaOrig="12250" w:dyaOrig="8816">
          <v:shape id="_x0000_i1026" type="#_x0000_t75" style="width:511.5pt;height:297.75pt" o:ole="">
            <v:imagedata r:id="rId17" o:title=""/>
          </v:shape>
          <o:OLEObject Type="Embed" ProgID="Excel.Sheet.8" ShapeID="_x0000_i1026" DrawAspect="Content" ObjectID="_1390287426" r:id="rId18"/>
        </w:object>
      </w:r>
    </w:p>
    <w:p w:rsidR="00612F80" w:rsidRDefault="00612F80" w:rsidP="002D56F5">
      <w:pPr>
        <w:tabs>
          <w:tab w:val="left" w:pos="13140"/>
        </w:tabs>
        <w:ind w:right="-540"/>
        <w:rPr>
          <w:sz w:val="16"/>
        </w:rPr>
      </w:pPr>
    </w:p>
    <w:p w:rsidR="00D9488C" w:rsidRDefault="00D9488C" w:rsidP="002D56F5">
      <w:pPr>
        <w:ind w:right="-540"/>
      </w:pPr>
    </w:p>
    <w:p w:rsidR="00130A5C" w:rsidRDefault="009A206D" w:rsidP="00CF0733">
      <w:r>
        <w:br w:type="page"/>
      </w:r>
    </w:p>
    <w:p w:rsidR="00130A5C" w:rsidRDefault="0090593F">
      <w:r>
        <w:object w:dxaOrig="13835" w:dyaOrig="8955">
          <v:shape id="_x0000_i1027" type="#_x0000_t75" style="width:492pt;height:318pt" o:ole="">
            <v:imagedata r:id="rId19" o:title=""/>
          </v:shape>
          <o:OLEObject Type="Embed" ProgID="Excel.Sheet.8" ShapeID="_x0000_i1027" DrawAspect="Content" ObjectID="_1390287427" r:id="rId20"/>
        </w:object>
      </w:r>
      <w:r w:rsidR="00130A5C">
        <w:br w:type="page"/>
      </w:r>
    </w:p>
    <w:p w:rsidR="00130A5C" w:rsidRDefault="00130A5C" w:rsidP="00F1380D">
      <w:pPr>
        <w:autoSpaceDE w:val="0"/>
        <w:autoSpaceDN w:val="0"/>
        <w:adjustRightInd w:val="0"/>
        <w:ind w:right="-540"/>
        <w:rPr>
          <w:b/>
        </w:rPr>
      </w:pPr>
    </w:p>
    <w:p w:rsidR="00130A5C" w:rsidRDefault="00130A5C">
      <w:pPr>
        <w:rPr>
          <w:b/>
        </w:rPr>
      </w:pPr>
    </w:p>
    <w:p w:rsidR="00612F80" w:rsidRPr="00E22DA7" w:rsidRDefault="00612F80" w:rsidP="00F1380D">
      <w:pPr>
        <w:autoSpaceDE w:val="0"/>
        <w:autoSpaceDN w:val="0"/>
        <w:adjustRightInd w:val="0"/>
        <w:ind w:right="-540"/>
        <w:rPr>
          <w:b/>
        </w:rPr>
      </w:pPr>
      <w:r w:rsidRPr="00E22DA7">
        <w:rPr>
          <w:b/>
        </w:rPr>
        <w:t xml:space="preserve">3.   Performance, Resources, and Strategies </w:t>
      </w:r>
    </w:p>
    <w:p w:rsidR="00612F80" w:rsidRPr="00E22DA7" w:rsidRDefault="00612F80" w:rsidP="00F1380D">
      <w:pPr>
        <w:autoSpaceDE w:val="0"/>
        <w:autoSpaceDN w:val="0"/>
        <w:adjustRightInd w:val="0"/>
        <w:ind w:right="-540"/>
      </w:pPr>
    </w:p>
    <w:p w:rsidR="0015789F" w:rsidRPr="009678BE" w:rsidRDefault="0015789F" w:rsidP="0015789F">
      <w:pPr>
        <w:autoSpaceDE w:val="0"/>
        <w:autoSpaceDN w:val="0"/>
        <w:adjustRightInd w:val="0"/>
        <w:ind w:right="-1080" w:firstLine="720"/>
        <w:rPr>
          <w:b/>
        </w:rPr>
      </w:pPr>
      <w:r w:rsidRPr="009678BE">
        <w:rPr>
          <w:b/>
        </w:rPr>
        <w:t xml:space="preserve">a.  Performance Plan and Report for Outcomes </w:t>
      </w:r>
    </w:p>
    <w:p w:rsidR="0015789F" w:rsidRPr="009678BE" w:rsidRDefault="0015789F" w:rsidP="0015789F">
      <w:pPr>
        <w:tabs>
          <w:tab w:val="left" w:leader="dot" w:pos="7920"/>
          <w:tab w:val="right" w:pos="8640"/>
        </w:tabs>
        <w:autoSpaceDE w:val="0"/>
        <w:autoSpaceDN w:val="0"/>
        <w:adjustRightInd w:val="0"/>
      </w:pPr>
    </w:p>
    <w:p w:rsidR="0015789F" w:rsidRPr="009678BE" w:rsidRDefault="0015789F" w:rsidP="0015789F">
      <w:pPr>
        <w:tabs>
          <w:tab w:val="left" w:leader="dot" w:pos="7920"/>
          <w:tab w:val="right" w:pos="8640"/>
        </w:tabs>
        <w:autoSpaceDE w:val="0"/>
        <w:autoSpaceDN w:val="0"/>
        <w:adjustRightInd w:val="0"/>
        <w:ind w:right="-540"/>
      </w:pPr>
      <w:r w:rsidRPr="009678BE">
        <w:t xml:space="preserve">OVW has undertaken a significant effort to implement a system for measuring the effectiveness of projects supported by VAWA grant monies.  The VAWA Measuring Effectiveness Initiative is an intensive effort to improve how we measure and monitor the work of OVW grantees.  In 2001, OVW entered into a cooperative agreement with the Muskie School of Public Service’s Catherine E. Cutler Institute for Child and Family Policy (the </w:t>
      </w:r>
      <w:smartTag w:uri="urn:schemas-microsoft-com:office:smarttags" w:element="place">
        <w:smartTag w:uri="urn:schemas-microsoft-com:office:smarttags" w:element="PlaceName">
          <w:r w:rsidRPr="009678BE">
            <w:t>Muskie</w:t>
          </w:r>
        </w:smartTag>
        <w:r w:rsidRPr="009678BE">
          <w:t xml:space="preserve"> </w:t>
        </w:r>
        <w:smartTag w:uri="urn:schemas-microsoft-com:office:smarttags" w:element="PlaceType">
          <w:r w:rsidRPr="009678BE">
            <w:t>School</w:t>
          </w:r>
        </w:smartTag>
      </w:smartTag>
      <w:r w:rsidRPr="009678BE">
        <w:t xml:space="preserve">) to develop and implement state-of-the-art reporting tools to capture the effectiveness of VAWA grant funding.  Since that time, the VAWA Measuring Effectiveness Initiative has developed, revised, and refined computerized progress report forms for grantees to collect this information and report online through the Grants Management System.  </w:t>
      </w:r>
    </w:p>
    <w:p w:rsidR="0015789F" w:rsidRPr="009678BE" w:rsidRDefault="0015789F" w:rsidP="0015789F">
      <w:pPr>
        <w:tabs>
          <w:tab w:val="left" w:leader="dot" w:pos="7920"/>
          <w:tab w:val="right" w:pos="8640"/>
        </w:tabs>
        <w:autoSpaceDE w:val="0"/>
        <w:autoSpaceDN w:val="0"/>
        <w:adjustRightInd w:val="0"/>
      </w:pPr>
    </w:p>
    <w:p w:rsidR="0015789F" w:rsidRPr="009678BE" w:rsidRDefault="0015789F" w:rsidP="0015789F">
      <w:pPr>
        <w:tabs>
          <w:tab w:val="left" w:leader="dot" w:pos="7920"/>
          <w:tab w:val="right" w:pos="8640"/>
        </w:tabs>
        <w:autoSpaceDE w:val="0"/>
        <w:autoSpaceDN w:val="0"/>
        <w:adjustRightInd w:val="0"/>
        <w:ind w:right="-540"/>
      </w:pPr>
      <w:r w:rsidRPr="009678BE">
        <w:t>OVW and the Measuring Effectiveness Initiative tailored each grant program’s form to reflect the different statutorily authorized activities that grantees perform, as well as to collect uniform information on victims served, demographics, and common activities that occur across several programs.  These progress report forms provide OVW with extraordinarily comprehensive and consistent data regarding grantee activities.</w:t>
      </w:r>
    </w:p>
    <w:p w:rsidR="0015789F" w:rsidRPr="009678BE" w:rsidRDefault="0015789F" w:rsidP="0015789F">
      <w:pPr>
        <w:autoSpaceDE w:val="0"/>
        <w:autoSpaceDN w:val="0"/>
        <w:adjustRightInd w:val="0"/>
        <w:rPr>
          <w:caps/>
          <w:color w:val="000000"/>
        </w:rPr>
      </w:pPr>
    </w:p>
    <w:p w:rsidR="0015789F" w:rsidRPr="009678BE" w:rsidRDefault="0015789F" w:rsidP="0015789F">
      <w:pPr>
        <w:autoSpaceDE w:val="0"/>
        <w:autoSpaceDN w:val="0"/>
        <w:adjustRightInd w:val="0"/>
        <w:rPr>
          <w:bCs/>
          <w:u w:val="single"/>
        </w:rPr>
      </w:pPr>
      <w:r w:rsidRPr="009678BE">
        <w:rPr>
          <w:bCs/>
          <w:u w:val="single"/>
        </w:rPr>
        <w:t>Sample Program Data</w:t>
      </w:r>
    </w:p>
    <w:p w:rsidR="0015789F" w:rsidRPr="009678BE" w:rsidRDefault="0015789F" w:rsidP="0015789F">
      <w:pPr>
        <w:tabs>
          <w:tab w:val="left" w:pos="360"/>
        </w:tabs>
        <w:autoSpaceDE w:val="0"/>
        <w:autoSpaceDN w:val="0"/>
        <w:adjustRightInd w:val="0"/>
        <w:ind w:right="-540"/>
      </w:pPr>
      <w:r w:rsidRPr="009678BE">
        <w:t>The data from ou</w:t>
      </w:r>
      <w:r w:rsidR="00E35300">
        <w:t>r grantees show</w:t>
      </w:r>
      <w:r w:rsidRPr="009678BE">
        <w:t xml:space="preserve"> that VAWA funding makes a difference in the way that communities across America help victims and hold offenders accountable.  For example, in the </w:t>
      </w:r>
      <w:r w:rsidRPr="009678BE">
        <w:rPr>
          <w:i/>
          <w:iCs/>
        </w:rPr>
        <w:t>six-month</w:t>
      </w:r>
      <w:r w:rsidRPr="009678BE">
        <w:t xml:space="preserve"> reporting period from January to June 2010 alone, OVW discretionary program grantees reported:</w:t>
      </w:r>
    </w:p>
    <w:p w:rsidR="0015789F" w:rsidRPr="009678BE" w:rsidRDefault="0015789F" w:rsidP="0015789F">
      <w:pPr>
        <w:tabs>
          <w:tab w:val="left" w:pos="360"/>
        </w:tabs>
        <w:autoSpaceDE w:val="0"/>
        <w:autoSpaceDN w:val="0"/>
        <w:adjustRightInd w:val="0"/>
      </w:pPr>
    </w:p>
    <w:p w:rsidR="0015789F" w:rsidRPr="009678BE" w:rsidRDefault="0015789F" w:rsidP="0015789F">
      <w:pPr>
        <w:numPr>
          <w:ilvl w:val="0"/>
          <w:numId w:val="11"/>
        </w:numPr>
        <w:autoSpaceDE w:val="0"/>
        <w:autoSpaceDN w:val="0"/>
        <w:adjustRightInd w:val="0"/>
        <w:ind w:left="720" w:hanging="360"/>
      </w:pPr>
      <w:r w:rsidRPr="009678BE">
        <w:t>Over 115,700 victims were served</w:t>
      </w:r>
      <w:r w:rsidRPr="009678BE">
        <w:rPr>
          <w:rStyle w:val="FootnoteReference"/>
        </w:rPr>
        <w:footnoteReference w:id="1"/>
      </w:r>
      <w:r w:rsidRPr="009678BE">
        <w:t>;</w:t>
      </w:r>
    </w:p>
    <w:p w:rsidR="0015789F" w:rsidRPr="009678BE" w:rsidRDefault="0015789F" w:rsidP="0015789F">
      <w:pPr>
        <w:numPr>
          <w:ilvl w:val="0"/>
          <w:numId w:val="11"/>
        </w:numPr>
        <w:autoSpaceDE w:val="0"/>
        <w:autoSpaceDN w:val="0"/>
        <w:adjustRightInd w:val="0"/>
        <w:ind w:left="720" w:hanging="360"/>
      </w:pPr>
      <w:r w:rsidRPr="009678BE">
        <w:t>Over 230,600 services were provided to victims</w:t>
      </w:r>
      <w:r w:rsidRPr="009678BE">
        <w:rPr>
          <w:rStyle w:val="FootnoteReference"/>
        </w:rPr>
        <w:footnoteReference w:id="2"/>
      </w:r>
      <w:r w:rsidRPr="009678BE">
        <w:t>;</w:t>
      </w:r>
    </w:p>
    <w:p w:rsidR="0015789F" w:rsidRPr="009678BE" w:rsidRDefault="0015789F" w:rsidP="0015789F">
      <w:pPr>
        <w:numPr>
          <w:ilvl w:val="0"/>
          <w:numId w:val="11"/>
        </w:numPr>
        <w:autoSpaceDE w:val="0"/>
        <w:autoSpaceDN w:val="0"/>
        <w:adjustRightInd w:val="0"/>
        <w:ind w:left="720" w:hanging="360"/>
      </w:pPr>
      <w:r w:rsidRPr="009678BE">
        <w:t>More than 2,900 arrests were made for violation of protection orders; and</w:t>
      </w:r>
    </w:p>
    <w:p w:rsidR="0015789F" w:rsidRPr="009678BE" w:rsidRDefault="0015789F" w:rsidP="0015789F">
      <w:pPr>
        <w:numPr>
          <w:ilvl w:val="0"/>
          <w:numId w:val="11"/>
        </w:numPr>
        <w:autoSpaceDE w:val="0"/>
        <w:autoSpaceDN w:val="0"/>
        <w:adjustRightInd w:val="0"/>
        <w:ind w:left="720" w:hanging="360"/>
      </w:pPr>
      <w:r w:rsidRPr="009678BE">
        <w:t>205,139 protection orders were granted in jurisdictions that receive funding from OVW’s Grants to Encourage Arrest Policies and Enforcement of Protection Orders Program.</w:t>
      </w:r>
    </w:p>
    <w:p w:rsidR="0015789F" w:rsidRPr="009678BE" w:rsidRDefault="0015789F" w:rsidP="0015789F">
      <w:pPr>
        <w:autoSpaceDE w:val="0"/>
        <w:autoSpaceDN w:val="0"/>
        <w:adjustRightInd w:val="0"/>
      </w:pPr>
    </w:p>
    <w:p w:rsidR="0015789F" w:rsidRPr="009678BE" w:rsidRDefault="0015789F" w:rsidP="0015789F">
      <w:pPr>
        <w:tabs>
          <w:tab w:val="left" w:pos="360"/>
        </w:tabs>
        <w:autoSpaceDE w:val="0"/>
        <w:autoSpaceDN w:val="0"/>
        <w:adjustRightInd w:val="0"/>
      </w:pPr>
      <w:r w:rsidRPr="009678BE">
        <w:t>Moreover, sub-grantees receiving funding awarded by States through OVW’s STOP Violence Against Women Formula Grant Program (STOP Program) reported, in calendar year 2008:</w:t>
      </w:r>
    </w:p>
    <w:p w:rsidR="0015789F" w:rsidRPr="009678BE" w:rsidRDefault="0015789F" w:rsidP="0015789F">
      <w:pPr>
        <w:tabs>
          <w:tab w:val="left" w:pos="360"/>
        </w:tabs>
        <w:autoSpaceDE w:val="0"/>
        <w:autoSpaceDN w:val="0"/>
        <w:adjustRightInd w:val="0"/>
      </w:pPr>
    </w:p>
    <w:p w:rsidR="0015789F" w:rsidRPr="009678BE" w:rsidRDefault="0015789F" w:rsidP="0015789F">
      <w:pPr>
        <w:numPr>
          <w:ilvl w:val="0"/>
          <w:numId w:val="11"/>
        </w:numPr>
        <w:autoSpaceDE w:val="0"/>
        <w:autoSpaceDN w:val="0"/>
        <w:adjustRightInd w:val="0"/>
        <w:ind w:left="720" w:hanging="360"/>
      </w:pPr>
      <w:r w:rsidRPr="009678BE">
        <w:t>More than 461,700 victims were served;</w:t>
      </w:r>
    </w:p>
    <w:p w:rsidR="0015789F" w:rsidRPr="009678BE" w:rsidRDefault="0015789F" w:rsidP="0015789F">
      <w:pPr>
        <w:numPr>
          <w:ilvl w:val="0"/>
          <w:numId w:val="11"/>
        </w:numPr>
        <w:autoSpaceDE w:val="0"/>
        <w:autoSpaceDN w:val="0"/>
        <w:adjustRightInd w:val="0"/>
        <w:ind w:left="720" w:hanging="360"/>
      </w:pPr>
      <w:r w:rsidRPr="009678BE">
        <w:t>Over 875,200 services were provided to victims</w:t>
      </w:r>
      <w:r w:rsidRPr="009678BE">
        <w:rPr>
          <w:rStyle w:val="FootnoteReference"/>
        </w:rPr>
        <w:footnoteReference w:id="3"/>
      </w:r>
      <w:r w:rsidRPr="009678BE">
        <w:t>; and</w:t>
      </w:r>
    </w:p>
    <w:p w:rsidR="0015789F" w:rsidRPr="009678BE" w:rsidRDefault="0015789F" w:rsidP="0015789F">
      <w:pPr>
        <w:numPr>
          <w:ilvl w:val="0"/>
          <w:numId w:val="11"/>
        </w:numPr>
        <w:autoSpaceDE w:val="0"/>
        <w:autoSpaceDN w:val="0"/>
        <w:adjustRightInd w:val="0"/>
        <w:ind w:left="720" w:hanging="360"/>
      </w:pPr>
      <w:r w:rsidRPr="009678BE">
        <w:t>More than 3,600 individuals were arrested for violations of protection orders.</w:t>
      </w:r>
    </w:p>
    <w:p w:rsidR="0015789F" w:rsidRPr="009678BE" w:rsidRDefault="0015789F" w:rsidP="0015789F">
      <w:pPr>
        <w:tabs>
          <w:tab w:val="left" w:pos="720"/>
        </w:tabs>
        <w:autoSpaceDE w:val="0"/>
        <w:autoSpaceDN w:val="0"/>
        <w:adjustRightInd w:val="0"/>
        <w:ind w:left="1080"/>
      </w:pPr>
    </w:p>
    <w:p w:rsidR="0015789F" w:rsidRPr="009678BE" w:rsidRDefault="0015789F" w:rsidP="0015789F">
      <w:pPr>
        <w:autoSpaceDE w:val="0"/>
        <w:autoSpaceDN w:val="0"/>
        <w:adjustRightInd w:val="0"/>
        <w:ind w:right="-1080"/>
      </w:pPr>
      <w:r w:rsidRPr="009678BE">
        <w:lastRenderedPageBreak/>
        <w:t>Funds not only help the victims who receive services, but are also used by OVW grantees to change the way our criminal justice system responds to domestic violence, dating violence, sexual assault, and stalking:</w:t>
      </w:r>
    </w:p>
    <w:p w:rsidR="0015789F" w:rsidRPr="009678BE" w:rsidRDefault="0015789F" w:rsidP="0015789F">
      <w:pPr>
        <w:autoSpaceDE w:val="0"/>
        <w:autoSpaceDN w:val="0"/>
        <w:adjustRightInd w:val="0"/>
        <w:ind w:right="-1080"/>
      </w:pPr>
    </w:p>
    <w:p w:rsidR="0015789F" w:rsidRPr="009678BE" w:rsidRDefault="0015789F" w:rsidP="0015789F">
      <w:pPr>
        <w:autoSpaceDE w:val="0"/>
        <w:autoSpaceDN w:val="0"/>
        <w:adjustRightInd w:val="0"/>
      </w:pPr>
      <w:r w:rsidRPr="009678BE">
        <w:t>During the three-year period from July 2007 through June 2010, OVW’s grantees reported training nearly 884,000 individuals, including 139,892 law enforcement officers, 19,923  prosecutors, and 26,209 court personnel.</w:t>
      </w:r>
    </w:p>
    <w:p w:rsidR="0015789F" w:rsidRPr="009678BE" w:rsidRDefault="0015789F" w:rsidP="0015789F">
      <w:pPr>
        <w:autoSpaceDE w:val="0"/>
        <w:autoSpaceDN w:val="0"/>
        <w:adjustRightInd w:val="0"/>
      </w:pPr>
    </w:p>
    <w:p w:rsidR="0015789F" w:rsidRPr="009678BE" w:rsidRDefault="0015789F" w:rsidP="0015789F">
      <w:pPr>
        <w:autoSpaceDE w:val="0"/>
        <w:autoSpaceDN w:val="0"/>
        <w:adjustRightInd w:val="0"/>
      </w:pPr>
      <w:r w:rsidRPr="009678BE">
        <w:t>For calendar years 2006, 2007, and 2008 combined, STOP sub-grantees reported training 796,115 individuals, including 223,865 law enforcement officers, 18,444 prosecutors, and 29,085 court personnel.</w:t>
      </w:r>
    </w:p>
    <w:p w:rsidR="0015789F" w:rsidRPr="009678BE" w:rsidRDefault="0015789F" w:rsidP="0015789F">
      <w:pPr>
        <w:autoSpaceDE w:val="0"/>
        <w:autoSpaceDN w:val="0"/>
        <w:adjustRightInd w:val="0"/>
        <w:ind w:right="-1080" w:firstLine="360"/>
        <w:rPr>
          <w:b/>
        </w:rPr>
      </w:pPr>
    </w:p>
    <w:p w:rsidR="0015789F" w:rsidRPr="009678BE" w:rsidRDefault="0015789F" w:rsidP="0015789F">
      <w:pPr>
        <w:autoSpaceDE w:val="0"/>
        <w:autoSpaceDN w:val="0"/>
        <w:adjustRightInd w:val="0"/>
        <w:ind w:right="-1080" w:firstLine="720"/>
        <w:rPr>
          <w:b/>
        </w:rPr>
      </w:pPr>
      <w:r w:rsidRPr="009678BE">
        <w:rPr>
          <w:b/>
        </w:rPr>
        <w:t xml:space="preserve">b. Strategies to Accomplish Outcomes </w:t>
      </w:r>
    </w:p>
    <w:p w:rsidR="0015789F" w:rsidRPr="009678BE" w:rsidRDefault="0015789F" w:rsidP="0015789F">
      <w:pPr>
        <w:tabs>
          <w:tab w:val="left" w:pos="7740"/>
        </w:tabs>
        <w:autoSpaceDE w:val="0"/>
        <w:autoSpaceDN w:val="0"/>
        <w:adjustRightInd w:val="0"/>
        <w:ind w:right="-1080"/>
      </w:pPr>
    </w:p>
    <w:p w:rsidR="0015789F" w:rsidRPr="009678BE" w:rsidRDefault="0015789F" w:rsidP="0015789F">
      <w:pPr>
        <w:tabs>
          <w:tab w:val="left" w:pos="7740"/>
        </w:tabs>
        <w:autoSpaceDE w:val="0"/>
        <w:autoSpaceDN w:val="0"/>
        <w:adjustRightInd w:val="0"/>
        <w:ind w:right="-1080"/>
      </w:pPr>
      <w:r w:rsidRPr="009678BE">
        <w:t xml:space="preserve">OVW has a comprehensive technical assistance initiative that provides training and technical assistance to grantees to carry out evidence-based and effective programs that increase offender accountability and enhance victim services.  All new grantees are required to attend an orientation to help them understand the requirements of the program and best practices in their focus area and resources available to assist them in carrying out their program.  </w:t>
      </w:r>
    </w:p>
    <w:p w:rsidR="0015789F" w:rsidRPr="009678BE" w:rsidRDefault="0015789F" w:rsidP="0015789F">
      <w:pPr>
        <w:tabs>
          <w:tab w:val="left" w:pos="7740"/>
        </w:tabs>
        <w:autoSpaceDE w:val="0"/>
        <w:autoSpaceDN w:val="0"/>
        <w:adjustRightInd w:val="0"/>
        <w:ind w:right="-1080"/>
      </w:pPr>
    </w:p>
    <w:p w:rsidR="009678BE" w:rsidRPr="009678BE" w:rsidRDefault="009678BE" w:rsidP="00967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540"/>
      </w:pPr>
      <w:r w:rsidRPr="009678BE">
        <w:t>In addition, OVW monitors all grantees to ensure statutory and program compliance including, reviewing semi</w:t>
      </w:r>
      <w:r w:rsidRPr="009678BE">
        <w:noBreakHyphen/>
        <w:t>annual progress reports submitted via GMS; reviewing quarterly financial status reports to monitor project progress through drawdown activity; conducting one Desk Review during the project period for each award; and assessing whether or not a grantee will receive an on</w:t>
      </w:r>
      <w:r w:rsidRPr="009678BE">
        <w:noBreakHyphen/>
        <w:t>site monitoring visit using the OVW Monitoring Plan Risk</w:t>
      </w:r>
      <w:r w:rsidRPr="009678BE">
        <w:noBreakHyphen/>
        <w:t xml:space="preserve">Based Assessment Tool. In addition, OVW recently developed a grant monitoring tool to enhance accountability for performance and monitoring oversight. This tool streamlines the grantee assessment process to support grant managers in the quality and consistency of effective monitoring.  </w:t>
      </w:r>
    </w:p>
    <w:p w:rsidR="0015789F" w:rsidRPr="009678BE" w:rsidRDefault="0015789F" w:rsidP="00157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540"/>
      </w:pPr>
    </w:p>
    <w:p w:rsidR="00E35300" w:rsidRDefault="00E35300">
      <w:pPr>
        <w:rPr>
          <w:rFonts w:cs="Arial"/>
          <w:b/>
          <w:sz w:val="28"/>
          <w:szCs w:val="28"/>
        </w:rPr>
      </w:pPr>
      <w:r>
        <w:rPr>
          <w:rFonts w:cs="Arial"/>
          <w:b/>
          <w:sz w:val="28"/>
          <w:szCs w:val="28"/>
        </w:rPr>
        <w:br w:type="page"/>
      </w:r>
    </w:p>
    <w:p w:rsidR="003A77B0" w:rsidRDefault="003A77B0" w:rsidP="003A77B0">
      <w:pPr>
        <w:pStyle w:val="BodyText"/>
        <w:ind w:right="-540"/>
        <w:rPr>
          <w:rFonts w:cs="Arial"/>
          <w:b/>
          <w:sz w:val="28"/>
          <w:szCs w:val="28"/>
        </w:rPr>
      </w:pPr>
      <w:r w:rsidRPr="00D172B9">
        <w:rPr>
          <w:rFonts w:cs="Arial"/>
          <w:b/>
          <w:sz w:val="28"/>
          <w:szCs w:val="28"/>
        </w:rPr>
        <w:lastRenderedPageBreak/>
        <w:t xml:space="preserve">V. Program </w:t>
      </w:r>
      <w:r w:rsidR="00C54AFC">
        <w:rPr>
          <w:rFonts w:cs="Arial"/>
          <w:b/>
          <w:sz w:val="28"/>
          <w:szCs w:val="28"/>
        </w:rPr>
        <w:t>Increases</w:t>
      </w:r>
      <w:r w:rsidRPr="00D172B9">
        <w:rPr>
          <w:rFonts w:cs="Arial"/>
          <w:b/>
          <w:sz w:val="28"/>
          <w:szCs w:val="28"/>
        </w:rPr>
        <w:t xml:space="preserve"> by Item </w:t>
      </w:r>
    </w:p>
    <w:p w:rsidR="003A77B0" w:rsidRDefault="003A77B0" w:rsidP="003A77B0">
      <w:pPr>
        <w:pStyle w:val="BodyText"/>
        <w:ind w:right="-540"/>
        <w:rPr>
          <w:rFonts w:cs="Arial"/>
          <w:b/>
          <w:sz w:val="28"/>
          <w:szCs w:val="28"/>
        </w:rPr>
      </w:pPr>
    </w:p>
    <w:p w:rsidR="002B63CA" w:rsidRDefault="002B63CA" w:rsidP="002D56F5">
      <w:pPr>
        <w:pStyle w:val="BodyText"/>
        <w:ind w:right="-540"/>
        <w:rPr>
          <w:rFonts w:cs="Arial"/>
          <w:b/>
          <w:sz w:val="28"/>
          <w:szCs w:val="28"/>
        </w:rPr>
      </w:pPr>
    </w:p>
    <w:p w:rsidR="005503F3" w:rsidRDefault="00C174AF" w:rsidP="000F48E1">
      <w:pPr>
        <w:ind w:left="450" w:right="-540"/>
        <w:rPr>
          <w:b/>
        </w:rPr>
      </w:pPr>
      <w:r w:rsidRPr="000F48E1">
        <w:rPr>
          <w:b/>
        </w:rPr>
        <w:t xml:space="preserve"> Item Name: </w:t>
      </w:r>
      <w:r w:rsidRPr="000F48E1">
        <w:rPr>
          <w:b/>
        </w:rPr>
        <w:tab/>
      </w:r>
      <w:r w:rsidRPr="000F48E1">
        <w:rPr>
          <w:b/>
        </w:rPr>
        <w:tab/>
      </w:r>
      <w:r w:rsidR="005503F3" w:rsidRPr="00E22DA7">
        <w:rPr>
          <w:b/>
        </w:rPr>
        <w:t xml:space="preserve">Rural Sexual Assault, Domestic Violence, Dating Violence, and </w:t>
      </w:r>
    </w:p>
    <w:p w:rsidR="002C3DCF" w:rsidRPr="000F48E1" w:rsidRDefault="005503F3" w:rsidP="000F48E1">
      <w:pPr>
        <w:ind w:left="450" w:right="-540"/>
        <w:rPr>
          <w:b/>
        </w:rPr>
      </w:pPr>
      <w:r>
        <w:rPr>
          <w:b/>
        </w:rPr>
        <w:tab/>
      </w:r>
      <w:r>
        <w:rPr>
          <w:b/>
        </w:rPr>
        <w:tab/>
      </w:r>
      <w:r>
        <w:rPr>
          <w:b/>
        </w:rPr>
        <w:tab/>
      </w:r>
      <w:r>
        <w:rPr>
          <w:b/>
        </w:rPr>
        <w:tab/>
      </w:r>
      <w:r w:rsidRPr="00E22DA7">
        <w:rPr>
          <w:b/>
        </w:rPr>
        <w:t>Stalking Assistance Program (Rural Program)</w:t>
      </w:r>
    </w:p>
    <w:p w:rsidR="00C174AF" w:rsidRPr="00731B77" w:rsidRDefault="00C174AF" w:rsidP="00C174AF">
      <w:pPr>
        <w:pStyle w:val="ListParagraph"/>
        <w:ind w:right="-540"/>
      </w:pPr>
    </w:p>
    <w:p w:rsidR="00B26ABC" w:rsidRPr="00950EF3" w:rsidRDefault="00B26ABC" w:rsidP="00B26ABC">
      <w:pPr>
        <w:pStyle w:val="xl19"/>
        <w:tabs>
          <w:tab w:val="left" w:pos="3420"/>
          <w:tab w:val="right" w:pos="8640"/>
        </w:tabs>
        <w:spacing w:before="0" w:after="0"/>
        <w:ind w:left="3420" w:right="-1080" w:hanging="3420"/>
      </w:pPr>
      <w:r w:rsidRPr="00950EF3">
        <w:t xml:space="preserve">Budget Decision Unit(s): </w:t>
      </w:r>
      <w:r w:rsidRPr="00950EF3">
        <w:tab/>
        <w:t>Prevention and Prosecution of Violence Against Women and Related Victim Services Program</w:t>
      </w:r>
    </w:p>
    <w:p w:rsidR="00B26ABC" w:rsidRPr="00950EF3" w:rsidRDefault="00B26ABC" w:rsidP="00B26ABC">
      <w:pPr>
        <w:pStyle w:val="xl19"/>
        <w:tabs>
          <w:tab w:val="left" w:pos="3420"/>
          <w:tab w:val="right" w:pos="8640"/>
        </w:tabs>
        <w:spacing w:before="0" w:after="0"/>
        <w:ind w:left="3420" w:right="-1080" w:hanging="3420"/>
      </w:pPr>
      <w:r w:rsidRPr="00950EF3">
        <w:t>Strategic Goal(s) &amp; Objective(s):</w:t>
      </w:r>
      <w:r w:rsidRPr="00950EF3">
        <w:tab/>
        <w:t xml:space="preserve">2.1 Strengthen partnerships for safer communities and enhance the Nation’s Capacity to prevent, solve, and control crime.                                                                                       </w:t>
      </w:r>
    </w:p>
    <w:p w:rsidR="00B26ABC" w:rsidRPr="00950EF3" w:rsidRDefault="00B26ABC" w:rsidP="00B26ABC">
      <w:pPr>
        <w:pStyle w:val="xl19"/>
        <w:tabs>
          <w:tab w:val="left" w:pos="3420"/>
          <w:tab w:val="right" w:pos="8640"/>
        </w:tabs>
        <w:spacing w:before="0" w:after="0"/>
        <w:ind w:left="3420" w:right="-1080" w:hanging="3420"/>
      </w:pPr>
      <w:r w:rsidRPr="00950EF3">
        <w:t>Organizational Program:</w:t>
      </w:r>
      <w:r w:rsidRPr="00950EF3">
        <w:tab/>
      </w:r>
      <w:r w:rsidRPr="005F22D5">
        <w:t>Rural Domestic Violence, Dating Violence, Sexual Assault and Stalking Assistance Program</w:t>
      </w:r>
    </w:p>
    <w:p w:rsidR="00B26ABC" w:rsidRPr="00950EF3" w:rsidRDefault="00B26ABC" w:rsidP="00B26ABC">
      <w:pPr>
        <w:pStyle w:val="xl19"/>
        <w:tabs>
          <w:tab w:val="left" w:pos="3420"/>
          <w:tab w:val="right" w:pos="4320"/>
        </w:tabs>
        <w:spacing w:before="0" w:after="0"/>
        <w:ind w:right="-1080"/>
      </w:pPr>
    </w:p>
    <w:p w:rsidR="00B26ABC" w:rsidRDefault="00B26ABC" w:rsidP="00B26ABC">
      <w:pPr>
        <w:pStyle w:val="xl19"/>
        <w:tabs>
          <w:tab w:val="left" w:pos="3420"/>
          <w:tab w:val="right" w:pos="4320"/>
        </w:tabs>
        <w:spacing w:before="0" w:after="0"/>
        <w:ind w:right="-1080"/>
      </w:pPr>
      <w:r w:rsidRPr="00950EF3">
        <w:t xml:space="preserve">Component Ranking of Item: </w:t>
      </w:r>
      <w:r w:rsidRPr="00950EF3">
        <w:tab/>
      </w:r>
      <w:r>
        <w:t>1 of 1</w:t>
      </w:r>
    </w:p>
    <w:p w:rsidR="00B26ABC" w:rsidRDefault="00B26ABC" w:rsidP="00B26ABC">
      <w:pPr>
        <w:pStyle w:val="xl19"/>
        <w:tabs>
          <w:tab w:val="left" w:pos="3420"/>
          <w:tab w:val="right" w:pos="4320"/>
        </w:tabs>
        <w:spacing w:before="0" w:after="0"/>
        <w:ind w:right="-1080"/>
      </w:pPr>
    </w:p>
    <w:p w:rsidR="00B26ABC" w:rsidRPr="00950EF3" w:rsidRDefault="00B26ABC" w:rsidP="00B26ABC">
      <w:pPr>
        <w:pStyle w:val="xl19"/>
        <w:tabs>
          <w:tab w:val="left" w:pos="2340"/>
          <w:tab w:val="right" w:pos="3060"/>
          <w:tab w:val="left" w:pos="3600"/>
          <w:tab w:val="right" w:pos="4500"/>
          <w:tab w:val="left" w:pos="5310"/>
          <w:tab w:val="right" w:pos="6300"/>
        </w:tabs>
        <w:spacing w:before="0" w:after="0"/>
        <w:ind w:right="-1080"/>
        <w:rPr>
          <w:u w:val="single"/>
        </w:rPr>
      </w:pPr>
      <w:r w:rsidRPr="00950EF3">
        <w:t xml:space="preserve">Program </w:t>
      </w:r>
      <w:r>
        <w:t>Increase</w:t>
      </w:r>
      <w:r w:rsidRPr="00950EF3">
        <w:t xml:space="preserve">:  Positions </w:t>
      </w:r>
      <w:r w:rsidRPr="00950EF3">
        <w:rPr>
          <w:u w:val="single"/>
        </w:rPr>
        <w:t>0  _</w:t>
      </w:r>
      <w:r w:rsidRPr="00950EF3">
        <w:t xml:space="preserve">  Agt/Atty__</w:t>
      </w:r>
      <w:r w:rsidRPr="00950EF3">
        <w:rPr>
          <w:u w:val="single"/>
        </w:rPr>
        <w:t>0</w:t>
      </w:r>
      <w:r w:rsidRPr="00950EF3">
        <w:t xml:space="preserve">__  FTE  </w:t>
      </w:r>
      <w:r w:rsidRPr="00950EF3">
        <w:rPr>
          <w:u w:val="single"/>
        </w:rPr>
        <w:t>___0_</w:t>
      </w:r>
      <w:r w:rsidRPr="00950EF3">
        <w:t xml:space="preserve">  Dollars  </w:t>
      </w:r>
      <w:r w:rsidRPr="00950EF3">
        <w:rPr>
          <w:u w:val="single"/>
        </w:rPr>
        <w:t>$__</w:t>
      </w:r>
      <w:r>
        <w:rPr>
          <w:u w:val="single"/>
        </w:rPr>
        <w:t>3,500</w:t>
      </w:r>
      <w:r w:rsidRPr="00950EF3">
        <w:rPr>
          <w:u w:val="single"/>
        </w:rPr>
        <w:t>,000</w:t>
      </w:r>
    </w:p>
    <w:p w:rsidR="00B26ABC" w:rsidRPr="00950EF3" w:rsidRDefault="00B26ABC" w:rsidP="00B26ABC">
      <w:pPr>
        <w:pStyle w:val="xl19"/>
        <w:tabs>
          <w:tab w:val="left" w:pos="3420"/>
          <w:tab w:val="right" w:pos="4320"/>
        </w:tabs>
        <w:spacing w:before="0" w:after="0"/>
        <w:ind w:right="-1080"/>
        <w:rPr>
          <w:u w:val="single"/>
        </w:rPr>
      </w:pPr>
    </w:p>
    <w:p w:rsidR="002C3DCF" w:rsidRPr="00E22DA7" w:rsidRDefault="002C3DCF" w:rsidP="002C3DCF">
      <w:pPr>
        <w:ind w:right="-1080"/>
      </w:pPr>
    </w:p>
    <w:p w:rsidR="002C3DCF" w:rsidRPr="00E22DA7" w:rsidRDefault="002C3DCF" w:rsidP="002C3DCF">
      <w:pPr>
        <w:ind w:right="-1080"/>
        <w:rPr>
          <w:u w:val="single"/>
        </w:rPr>
      </w:pPr>
      <w:r w:rsidRPr="00E22DA7">
        <w:rPr>
          <w:u w:val="single"/>
        </w:rPr>
        <w:t>Description of Item</w:t>
      </w:r>
    </w:p>
    <w:p w:rsidR="00B26ABC" w:rsidRPr="008B6923" w:rsidRDefault="00525F6B" w:rsidP="00603721">
      <w:pPr>
        <w:ind w:right="-540"/>
      </w:pPr>
      <w:r w:rsidRPr="00E22DA7">
        <w:t>OVW requests</w:t>
      </w:r>
      <w:r>
        <w:t xml:space="preserve"> </w:t>
      </w:r>
      <w:r w:rsidR="00B26ABC">
        <w:t xml:space="preserve">a grant </w:t>
      </w:r>
      <w:r>
        <w:t>funding</w:t>
      </w:r>
      <w:r w:rsidR="00B26ABC">
        <w:t xml:space="preserve"> increase</w:t>
      </w:r>
      <w:r>
        <w:t xml:space="preserve"> for </w:t>
      </w:r>
      <w:r w:rsidR="005503F3">
        <w:t>the Rural Program</w:t>
      </w:r>
      <w:r w:rsidR="00B26ABC">
        <w:t xml:space="preserve"> to </w:t>
      </w:r>
      <w:r w:rsidR="00B26ABC" w:rsidRPr="008B6923">
        <w:t xml:space="preserve">increase and improve services </w:t>
      </w:r>
      <w:r w:rsidR="00DE6AEC">
        <w:t xml:space="preserve">in rural jurisdictions, which </w:t>
      </w:r>
      <w:r w:rsidR="00CB76FF">
        <w:t xml:space="preserve">will allow OVW grant dollars to reach </w:t>
      </w:r>
      <w:r w:rsidR="00B26ABC" w:rsidRPr="008B6923">
        <w:t xml:space="preserve">underserved </w:t>
      </w:r>
      <w:r w:rsidR="00CB76FF">
        <w:t>populations in rural communities</w:t>
      </w:r>
      <w:r w:rsidR="00B26ABC" w:rsidRPr="008B6923">
        <w:t>.</w:t>
      </w:r>
    </w:p>
    <w:p w:rsidR="00B26ABC" w:rsidRDefault="00B26ABC" w:rsidP="00B26ABC">
      <w:pPr>
        <w:ind w:right="-1080"/>
      </w:pPr>
    </w:p>
    <w:p w:rsidR="00B26ABC" w:rsidRDefault="00B26ABC" w:rsidP="00B26ABC">
      <w:pPr>
        <w:pStyle w:val="xl24"/>
        <w:spacing w:before="0" w:after="0"/>
        <w:ind w:right="-1080"/>
      </w:pPr>
      <w:r>
        <w:t>Justification</w:t>
      </w:r>
    </w:p>
    <w:p w:rsidR="00B26ABC" w:rsidRDefault="00B26ABC" w:rsidP="00B26ABC">
      <w:pPr>
        <w:ind w:right="-1080"/>
      </w:pPr>
      <w:r>
        <w:t>For FY 201</w:t>
      </w:r>
      <w:r w:rsidR="000F48E1">
        <w:t>3</w:t>
      </w:r>
      <w:r>
        <w:t xml:space="preserve">, OVW requests an increase in the appropriation for the </w:t>
      </w:r>
      <w:r w:rsidR="006C07D6">
        <w:t>Rural</w:t>
      </w:r>
      <w:r>
        <w:t xml:space="preserve"> to $</w:t>
      </w:r>
      <w:r w:rsidR="00603721">
        <w:t>37,50</w:t>
      </w:r>
      <w:r>
        <w:t xml:space="preserve">0,000.  </w:t>
      </w:r>
    </w:p>
    <w:p w:rsidR="00B26ABC" w:rsidRPr="006A62A6" w:rsidRDefault="00B26ABC" w:rsidP="00B26ABC">
      <w:pPr>
        <w:ind w:right="-1080"/>
      </w:pPr>
      <w:r w:rsidRPr="006A62A6">
        <w:t xml:space="preserve">Funding for the </w:t>
      </w:r>
      <w:r w:rsidR="00603721" w:rsidRPr="00603721">
        <w:t xml:space="preserve">Rural </w:t>
      </w:r>
      <w:r w:rsidR="006C07D6">
        <w:t>Program</w:t>
      </w:r>
      <w:r w:rsidR="00603721">
        <w:t xml:space="preserve"> </w:t>
      </w:r>
      <w:r w:rsidRPr="006A62A6">
        <w:t xml:space="preserve">declined over </w:t>
      </w:r>
      <w:r>
        <w:t>t</w:t>
      </w:r>
      <w:r w:rsidR="00603721">
        <w:t xml:space="preserve">he past funding cycle.  This increase is requested to </w:t>
      </w:r>
      <w:r w:rsidR="006C07D6">
        <w:t xml:space="preserve">mitigate that decline, and to </w:t>
      </w:r>
      <w:r w:rsidR="00603721">
        <w:t>be able to serve more of the target population.</w:t>
      </w:r>
    </w:p>
    <w:p w:rsidR="00525F6B" w:rsidRDefault="00525F6B" w:rsidP="00525F6B">
      <w:pPr>
        <w:autoSpaceDE w:val="0"/>
        <w:autoSpaceDN w:val="0"/>
        <w:adjustRightInd w:val="0"/>
      </w:pPr>
    </w:p>
    <w:p w:rsidR="00525F6B" w:rsidRDefault="00525F6B" w:rsidP="00525F6B">
      <w:pPr>
        <w:autoSpaceDE w:val="0"/>
        <w:autoSpaceDN w:val="0"/>
        <w:adjustRightInd w:val="0"/>
        <w:rPr>
          <w:u w:val="single"/>
        </w:rPr>
      </w:pPr>
      <w:r>
        <w:rPr>
          <w:u w:val="single"/>
        </w:rPr>
        <w:t>Impact on Performance (Relationship of Reduction to Strategic Goals)</w:t>
      </w:r>
    </w:p>
    <w:p w:rsidR="00DE6AEC" w:rsidRDefault="00DE6AEC" w:rsidP="00DE6AEC">
      <w:pPr>
        <w:ind w:right="-1080"/>
      </w:pPr>
      <w:r>
        <w:t xml:space="preserve">The Rural Program </w:t>
      </w:r>
      <w:r w:rsidRPr="00E22DA7">
        <w:rPr>
          <w:color w:val="000000"/>
        </w:rPr>
        <w:t>enhance</w:t>
      </w:r>
      <w:r>
        <w:rPr>
          <w:color w:val="000000"/>
        </w:rPr>
        <w:t>s</w:t>
      </w:r>
      <w:r w:rsidRPr="00E22DA7">
        <w:rPr>
          <w:color w:val="000000"/>
        </w:rPr>
        <w:t xml:space="preserve"> the safety of children, youth, and adults who are victims of domestic violence, dating violence, sexual assault, and stalking by supporting projects uniquely designed to address and prevent these crimes in rural jurisdictions</w:t>
      </w:r>
      <w:r>
        <w:rPr>
          <w:color w:val="000000"/>
        </w:rPr>
        <w:t xml:space="preserve">  </w:t>
      </w:r>
      <w:r>
        <w:t>The activities of this program</w:t>
      </w:r>
      <w:r>
        <w:rPr>
          <w:iCs/>
        </w:rPr>
        <w:t xml:space="preserve"> directly support Strategic Goal number II, “Prevent Crime, Enforce Federal Laws, and Represent the Rights of the American People,” and Objective 2.1, “Strengthen partnerships for safer communities and enhance the Nation’s capacity to prevent, solve, and control crime.”  W</w:t>
      </w:r>
      <w:r>
        <w:t>ith additional funds, the Rural Program will be able to increase the number of awards to communities and/or increase the value of awards made in order to meet increased demand for services.</w:t>
      </w:r>
    </w:p>
    <w:p w:rsidR="00525F6B" w:rsidRPr="005951EB" w:rsidRDefault="00525F6B" w:rsidP="00525F6B">
      <w:pPr>
        <w:autoSpaceDE w:val="0"/>
        <w:autoSpaceDN w:val="0"/>
        <w:adjustRightInd w:val="0"/>
        <w:ind w:right="-1080"/>
      </w:pPr>
    </w:p>
    <w:p w:rsidR="002C3DCF" w:rsidRDefault="002C3DCF" w:rsidP="002C3DCF">
      <w:pPr>
        <w:pStyle w:val="Heading1"/>
        <w:ind w:right="-540"/>
        <w:rPr>
          <w:rFonts w:ascii="Times New Roman" w:hAnsi="Times New Roman"/>
          <w:bCs/>
        </w:rPr>
      </w:pPr>
      <w:r>
        <w:rPr>
          <w:rFonts w:ascii="Times New Roman" w:hAnsi="Times New Roman"/>
          <w:bCs/>
        </w:rPr>
        <w:t>Funding</w:t>
      </w:r>
    </w:p>
    <w:p w:rsidR="00BF2526" w:rsidRPr="00DC4C9F" w:rsidRDefault="00BF2526" w:rsidP="00BF2526">
      <w:pPr>
        <w:pStyle w:val="xl24"/>
        <w:spacing w:before="0" w:after="0"/>
      </w:pPr>
      <w:r w:rsidRPr="00DC4C9F">
        <w:t>Base Funding</w:t>
      </w:r>
    </w:p>
    <w:p w:rsidR="00BF2526" w:rsidRPr="00DC4C9F" w:rsidRDefault="00BF2526" w:rsidP="00BF2526">
      <w:pPr>
        <w:pStyle w:val="xl24"/>
        <w:spacing w:before="0" w:after="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58"/>
        <w:gridCol w:w="590"/>
        <w:gridCol w:w="607"/>
        <w:gridCol w:w="672"/>
        <w:gridCol w:w="1535"/>
      </w:tblGrid>
      <w:tr w:rsidR="00BF2526" w:rsidRPr="00DC4C9F" w:rsidTr="00BF2526">
        <w:tc>
          <w:tcPr>
            <w:tcW w:w="3168" w:type="dxa"/>
            <w:gridSpan w:val="4"/>
            <w:shd w:val="clear" w:color="auto" w:fill="E6E6E6"/>
          </w:tcPr>
          <w:p w:rsidR="00BF2526" w:rsidRPr="00DC4C9F" w:rsidRDefault="00BF2526" w:rsidP="00BF2526">
            <w:pPr>
              <w:pStyle w:val="Heading7"/>
              <w:rPr>
                <w:sz w:val="20"/>
              </w:rPr>
            </w:pPr>
            <w:r w:rsidRPr="00DC4C9F">
              <w:rPr>
                <w:sz w:val="20"/>
              </w:rPr>
              <w:t xml:space="preserve"> FY 2011 Enacted (w/resc./supps)</w:t>
            </w:r>
          </w:p>
        </w:tc>
        <w:tc>
          <w:tcPr>
            <w:tcW w:w="3240" w:type="dxa"/>
            <w:gridSpan w:val="4"/>
            <w:shd w:val="clear" w:color="auto" w:fill="E6E6E6"/>
          </w:tcPr>
          <w:p w:rsidR="00BF2526" w:rsidRPr="00DC4C9F" w:rsidRDefault="00BF2526" w:rsidP="00172A02">
            <w:pPr>
              <w:pStyle w:val="Heading7"/>
              <w:rPr>
                <w:sz w:val="20"/>
              </w:rPr>
            </w:pPr>
            <w:r w:rsidRPr="00DC4C9F">
              <w:rPr>
                <w:sz w:val="20"/>
              </w:rPr>
              <w:t xml:space="preserve">FY 2012 </w:t>
            </w:r>
            <w:r w:rsidR="00172A02">
              <w:rPr>
                <w:sz w:val="20"/>
              </w:rPr>
              <w:t>Enacted</w:t>
            </w:r>
            <w:r>
              <w:rPr>
                <w:sz w:val="20"/>
              </w:rPr>
              <w:t xml:space="preserve"> Rate</w:t>
            </w:r>
          </w:p>
        </w:tc>
        <w:tc>
          <w:tcPr>
            <w:tcW w:w="3404" w:type="dxa"/>
            <w:gridSpan w:val="4"/>
            <w:shd w:val="clear" w:color="auto" w:fill="E6E6E6"/>
          </w:tcPr>
          <w:p w:rsidR="00BF2526" w:rsidRPr="00DC4C9F" w:rsidRDefault="00BF2526" w:rsidP="00BF2526">
            <w:pPr>
              <w:pStyle w:val="Heading7"/>
              <w:rPr>
                <w:sz w:val="20"/>
              </w:rPr>
            </w:pPr>
            <w:r w:rsidRPr="00DC4C9F">
              <w:rPr>
                <w:sz w:val="20"/>
              </w:rPr>
              <w:t>FY 2013 Current Services</w:t>
            </w:r>
          </w:p>
        </w:tc>
      </w:tr>
      <w:tr w:rsidR="00BF2526" w:rsidRPr="00DC4C9F" w:rsidTr="00BF2526">
        <w:tc>
          <w:tcPr>
            <w:tcW w:w="594" w:type="dxa"/>
          </w:tcPr>
          <w:p w:rsidR="00BF2526" w:rsidRPr="00DC4C9F" w:rsidRDefault="00BF2526" w:rsidP="00BF2526">
            <w:pPr>
              <w:pStyle w:val="xl24"/>
              <w:spacing w:before="0" w:after="0"/>
              <w:jc w:val="center"/>
              <w:rPr>
                <w:sz w:val="20"/>
                <w:u w:val="none"/>
              </w:rPr>
            </w:pPr>
            <w:r w:rsidRPr="00DC4C9F">
              <w:rPr>
                <w:sz w:val="20"/>
                <w:u w:val="none"/>
              </w:rPr>
              <w:t>Pos</w:t>
            </w:r>
          </w:p>
        </w:tc>
        <w:tc>
          <w:tcPr>
            <w:tcW w:w="607" w:type="dxa"/>
          </w:tcPr>
          <w:p w:rsidR="00BF2526" w:rsidRPr="00DC4C9F" w:rsidRDefault="00BF2526" w:rsidP="00BF2526">
            <w:pPr>
              <w:pStyle w:val="xl24"/>
              <w:spacing w:before="0" w:after="0"/>
              <w:jc w:val="center"/>
              <w:rPr>
                <w:sz w:val="20"/>
                <w:u w:val="none"/>
              </w:rPr>
            </w:pPr>
            <w:r w:rsidRPr="00DC4C9F">
              <w:rPr>
                <w:sz w:val="20"/>
                <w:u w:val="none"/>
              </w:rPr>
              <w:t>agt/</w:t>
            </w:r>
          </w:p>
          <w:p w:rsidR="00BF2526" w:rsidRPr="00DC4C9F" w:rsidRDefault="00BF2526" w:rsidP="00BF2526">
            <w:pPr>
              <w:pStyle w:val="xl24"/>
              <w:spacing w:before="0" w:after="0"/>
              <w:jc w:val="center"/>
              <w:rPr>
                <w:sz w:val="20"/>
                <w:u w:val="none"/>
              </w:rPr>
            </w:pPr>
            <w:r w:rsidRPr="00DC4C9F">
              <w:rPr>
                <w:sz w:val="20"/>
                <w:u w:val="none"/>
              </w:rPr>
              <w:t>atty</w:t>
            </w:r>
          </w:p>
        </w:tc>
        <w:tc>
          <w:tcPr>
            <w:tcW w:w="572" w:type="dxa"/>
          </w:tcPr>
          <w:p w:rsidR="00BF2526" w:rsidRPr="00DC4C9F" w:rsidRDefault="00BF2526" w:rsidP="00BF2526">
            <w:pPr>
              <w:pStyle w:val="xl24"/>
              <w:spacing w:before="0" w:after="0"/>
              <w:jc w:val="center"/>
              <w:rPr>
                <w:sz w:val="20"/>
                <w:u w:val="none"/>
              </w:rPr>
            </w:pPr>
            <w:r w:rsidRPr="00DC4C9F">
              <w:rPr>
                <w:sz w:val="20"/>
                <w:u w:val="none"/>
              </w:rPr>
              <w:t>FTE</w:t>
            </w:r>
          </w:p>
        </w:tc>
        <w:tc>
          <w:tcPr>
            <w:tcW w:w="1395" w:type="dxa"/>
          </w:tcPr>
          <w:p w:rsidR="00BF2526" w:rsidRPr="00DC4C9F" w:rsidRDefault="00285C2D" w:rsidP="00BF2526">
            <w:pPr>
              <w:pStyle w:val="xl24"/>
              <w:spacing w:before="0" w:after="0"/>
              <w:jc w:val="center"/>
              <w:rPr>
                <w:sz w:val="20"/>
                <w:u w:val="none"/>
              </w:rPr>
            </w:pPr>
            <w:r>
              <w:rPr>
                <w:sz w:val="20"/>
                <w:u w:val="none"/>
              </w:rPr>
              <w:t>($000)</w:t>
            </w:r>
          </w:p>
        </w:tc>
        <w:tc>
          <w:tcPr>
            <w:tcW w:w="603" w:type="dxa"/>
          </w:tcPr>
          <w:p w:rsidR="00BF2526" w:rsidRPr="00DC4C9F" w:rsidRDefault="00BF2526" w:rsidP="00BF2526">
            <w:pPr>
              <w:pStyle w:val="xl24"/>
              <w:spacing w:before="0" w:after="0"/>
              <w:jc w:val="center"/>
              <w:rPr>
                <w:sz w:val="20"/>
                <w:u w:val="none"/>
              </w:rPr>
            </w:pPr>
            <w:r w:rsidRPr="00DC4C9F">
              <w:rPr>
                <w:sz w:val="20"/>
                <w:u w:val="none"/>
              </w:rPr>
              <w:t>Pos</w:t>
            </w:r>
          </w:p>
        </w:tc>
        <w:tc>
          <w:tcPr>
            <w:tcW w:w="607" w:type="dxa"/>
          </w:tcPr>
          <w:p w:rsidR="00BF2526" w:rsidRPr="00DC4C9F" w:rsidRDefault="00BF2526" w:rsidP="00BF2526">
            <w:pPr>
              <w:pStyle w:val="xl24"/>
              <w:spacing w:before="0" w:after="0"/>
              <w:jc w:val="center"/>
              <w:rPr>
                <w:sz w:val="20"/>
                <w:u w:val="none"/>
              </w:rPr>
            </w:pPr>
            <w:r w:rsidRPr="00DC4C9F">
              <w:rPr>
                <w:sz w:val="20"/>
                <w:u w:val="none"/>
              </w:rPr>
              <w:t>agt/</w:t>
            </w:r>
          </w:p>
          <w:p w:rsidR="00BF2526" w:rsidRPr="00DC4C9F" w:rsidRDefault="00BF2526" w:rsidP="00BF2526">
            <w:pPr>
              <w:pStyle w:val="xl24"/>
              <w:spacing w:before="0" w:after="0"/>
              <w:jc w:val="center"/>
              <w:rPr>
                <w:sz w:val="20"/>
                <w:u w:val="none"/>
              </w:rPr>
            </w:pPr>
            <w:r w:rsidRPr="00DC4C9F">
              <w:rPr>
                <w:sz w:val="20"/>
                <w:u w:val="none"/>
              </w:rPr>
              <w:t>atty</w:t>
            </w:r>
          </w:p>
        </w:tc>
        <w:tc>
          <w:tcPr>
            <w:tcW w:w="672" w:type="dxa"/>
          </w:tcPr>
          <w:p w:rsidR="00BF2526" w:rsidRPr="00DC4C9F" w:rsidRDefault="00BF2526" w:rsidP="00BF2526">
            <w:pPr>
              <w:pStyle w:val="xl24"/>
              <w:spacing w:before="0" w:after="0"/>
              <w:jc w:val="center"/>
              <w:rPr>
                <w:sz w:val="20"/>
                <w:u w:val="none"/>
              </w:rPr>
            </w:pPr>
            <w:r w:rsidRPr="00DC4C9F">
              <w:rPr>
                <w:sz w:val="20"/>
                <w:u w:val="none"/>
              </w:rPr>
              <w:t>FTE</w:t>
            </w:r>
          </w:p>
        </w:tc>
        <w:tc>
          <w:tcPr>
            <w:tcW w:w="1358" w:type="dxa"/>
          </w:tcPr>
          <w:p w:rsidR="00BF2526" w:rsidRPr="00DC4C9F" w:rsidRDefault="00E4058F" w:rsidP="00BF2526">
            <w:pPr>
              <w:pStyle w:val="xl24"/>
              <w:spacing w:before="0" w:after="0"/>
              <w:jc w:val="center"/>
              <w:rPr>
                <w:sz w:val="20"/>
                <w:u w:val="none"/>
              </w:rPr>
            </w:pPr>
            <w:r>
              <w:rPr>
                <w:sz w:val="20"/>
                <w:u w:val="none"/>
              </w:rPr>
              <w:t>0</w:t>
            </w:r>
            <w:r w:rsidR="00285C2D">
              <w:rPr>
                <w:sz w:val="20"/>
                <w:u w:val="none"/>
              </w:rPr>
              <w:t>($000)</w:t>
            </w:r>
          </w:p>
        </w:tc>
        <w:tc>
          <w:tcPr>
            <w:tcW w:w="590" w:type="dxa"/>
          </w:tcPr>
          <w:p w:rsidR="00BF2526" w:rsidRPr="00DC4C9F" w:rsidRDefault="00BF2526" w:rsidP="00BF2526">
            <w:pPr>
              <w:pStyle w:val="xl24"/>
              <w:spacing w:before="0" w:after="0"/>
              <w:jc w:val="center"/>
              <w:rPr>
                <w:sz w:val="20"/>
                <w:u w:val="none"/>
              </w:rPr>
            </w:pPr>
            <w:r w:rsidRPr="00DC4C9F">
              <w:rPr>
                <w:sz w:val="20"/>
                <w:u w:val="none"/>
              </w:rPr>
              <w:t>Pos</w:t>
            </w:r>
          </w:p>
        </w:tc>
        <w:tc>
          <w:tcPr>
            <w:tcW w:w="607" w:type="dxa"/>
          </w:tcPr>
          <w:p w:rsidR="00BF2526" w:rsidRPr="00DC4C9F" w:rsidRDefault="00BF2526" w:rsidP="00BF2526">
            <w:pPr>
              <w:pStyle w:val="xl24"/>
              <w:spacing w:before="0" w:after="0"/>
              <w:jc w:val="center"/>
              <w:rPr>
                <w:sz w:val="20"/>
                <w:u w:val="none"/>
              </w:rPr>
            </w:pPr>
            <w:r w:rsidRPr="00DC4C9F">
              <w:rPr>
                <w:sz w:val="20"/>
                <w:u w:val="none"/>
              </w:rPr>
              <w:t>agt/</w:t>
            </w:r>
          </w:p>
          <w:p w:rsidR="00BF2526" w:rsidRPr="00DC4C9F" w:rsidRDefault="00BF2526" w:rsidP="00BF2526">
            <w:pPr>
              <w:pStyle w:val="xl24"/>
              <w:spacing w:before="0" w:after="0"/>
              <w:jc w:val="center"/>
              <w:rPr>
                <w:sz w:val="20"/>
                <w:u w:val="none"/>
              </w:rPr>
            </w:pPr>
            <w:r w:rsidRPr="00DC4C9F">
              <w:rPr>
                <w:sz w:val="20"/>
                <w:u w:val="none"/>
              </w:rPr>
              <w:t>atty</w:t>
            </w:r>
          </w:p>
        </w:tc>
        <w:tc>
          <w:tcPr>
            <w:tcW w:w="672" w:type="dxa"/>
          </w:tcPr>
          <w:p w:rsidR="00BF2526" w:rsidRPr="00DC4C9F" w:rsidRDefault="00BF2526" w:rsidP="00BF2526">
            <w:pPr>
              <w:pStyle w:val="xl24"/>
              <w:spacing w:before="0" w:after="0"/>
              <w:jc w:val="center"/>
              <w:rPr>
                <w:sz w:val="20"/>
                <w:u w:val="none"/>
              </w:rPr>
            </w:pPr>
            <w:r w:rsidRPr="00DC4C9F">
              <w:rPr>
                <w:sz w:val="20"/>
                <w:u w:val="none"/>
              </w:rPr>
              <w:t>FTE</w:t>
            </w:r>
          </w:p>
        </w:tc>
        <w:tc>
          <w:tcPr>
            <w:tcW w:w="1535" w:type="dxa"/>
          </w:tcPr>
          <w:p w:rsidR="00BF2526" w:rsidRPr="00DC4C9F" w:rsidRDefault="00285C2D" w:rsidP="00BF2526">
            <w:pPr>
              <w:pStyle w:val="xl24"/>
              <w:spacing w:before="0" w:after="0"/>
              <w:jc w:val="center"/>
              <w:rPr>
                <w:sz w:val="20"/>
                <w:u w:val="none"/>
              </w:rPr>
            </w:pPr>
            <w:r>
              <w:rPr>
                <w:sz w:val="20"/>
                <w:u w:val="none"/>
              </w:rPr>
              <w:t>($000)</w:t>
            </w:r>
          </w:p>
        </w:tc>
      </w:tr>
      <w:tr w:rsidR="00BF2526" w:rsidRPr="00DC4C9F" w:rsidTr="00BF2526">
        <w:tc>
          <w:tcPr>
            <w:tcW w:w="594" w:type="dxa"/>
          </w:tcPr>
          <w:p w:rsidR="00BF2526" w:rsidRPr="00285C2D" w:rsidRDefault="00BF2526" w:rsidP="00BF2526">
            <w:pPr>
              <w:pStyle w:val="xl24"/>
              <w:spacing w:before="0" w:after="0"/>
              <w:jc w:val="right"/>
              <w:rPr>
                <w:sz w:val="20"/>
                <w:u w:val="none"/>
              </w:rPr>
            </w:pPr>
          </w:p>
        </w:tc>
        <w:tc>
          <w:tcPr>
            <w:tcW w:w="607" w:type="dxa"/>
          </w:tcPr>
          <w:p w:rsidR="00BF2526" w:rsidRPr="00285C2D" w:rsidRDefault="00BF2526" w:rsidP="00BF2526">
            <w:pPr>
              <w:pStyle w:val="xl24"/>
              <w:spacing w:before="0" w:after="0"/>
              <w:jc w:val="right"/>
              <w:rPr>
                <w:sz w:val="20"/>
                <w:u w:val="none"/>
              </w:rPr>
            </w:pPr>
          </w:p>
        </w:tc>
        <w:tc>
          <w:tcPr>
            <w:tcW w:w="572" w:type="dxa"/>
          </w:tcPr>
          <w:p w:rsidR="00BF2526" w:rsidRPr="00285C2D" w:rsidRDefault="00BF2526" w:rsidP="00BF2526">
            <w:pPr>
              <w:pStyle w:val="xl24"/>
              <w:spacing w:before="0" w:after="0"/>
              <w:jc w:val="right"/>
              <w:rPr>
                <w:sz w:val="20"/>
                <w:u w:val="none"/>
              </w:rPr>
            </w:pPr>
          </w:p>
        </w:tc>
        <w:tc>
          <w:tcPr>
            <w:tcW w:w="1395" w:type="dxa"/>
          </w:tcPr>
          <w:p w:rsidR="00BF2526" w:rsidRPr="00285C2D" w:rsidRDefault="000F48E1" w:rsidP="00BF2526">
            <w:pPr>
              <w:pStyle w:val="xl24"/>
              <w:spacing w:before="0" w:after="0"/>
              <w:jc w:val="right"/>
              <w:rPr>
                <w:sz w:val="20"/>
                <w:u w:val="none"/>
              </w:rPr>
            </w:pPr>
            <w:r>
              <w:rPr>
                <w:sz w:val="20"/>
                <w:u w:val="none"/>
              </w:rPr>
              <w:t>40,918</w:t>
            </w:r>
          </w:p>
        </w:tc>
        <w:tc>
          <w:tcPr>
            <w:tcW w:w="603" w:type="dxa"/>
          </w:tcPr>
          <w:p w:rsidR="00BF2526" w:rsidRPr="00285C2D" w:rsidRDefault="00BF2526" w:rsidP="00BF2526">
            <w:pPr>
              <w:pStyle w:val="xl24"/>
              <w:spacing w:before="0" w:after="0"/>
              <w:jc w:val="right"/>
              <w:rPr>
                <w:sz w:val="20"/>
                <w:u w:val="none"/>
              </w:rPr>
            </w:pPr>
          </w:p>
        </w:tc>
        <w:tc>
          <w:tcPr>
            <w:tcW w:w="607" w:type="dxa"/>
          </w:tcPr>
          <w:p w:rsidR="00BF2526" w:rsidRPr="00285C2D" w:rsidRDefault="00BF2526" w:rsidP="00BF2526">
            <w:pPr>
              <w:pStyle w:val="xl24"/>
              <w:spacing w:before="0" w:after="0"/>
              <w:jc w:val="right"/>
              <w:rPr>
                <w:sz w:val="20"/>
                <w:u w:val="none"/>
              </w:rPr>
            </w:pPr>
          </w:p>
        </w:tc>
        <w:tc>
          <w:tcPr>
            <w:tcW w:w="672" w:type="dxa"/>
          </w:tcPr>
          <w:p w:rsidR="00BF2526" w:rsidRPr="00285C2D" w:rsidRDefault="00BF2526" w:rsidP="00BF2526">
            <w:pPr>
              <w:pStyle w:val="xl24"/>
              <w:spacing w:before="0" w:after="0"/>
              <w:jc w:val="right"/>
              <w:rPr>
                <w:sz w:val="20"/>
                <w:u w:val="none"/>
              </w:rPr>
            </w:pPr>
          </w:p>
        </w:tc>
        <w:tc>
          <w:tcPr>
            <w:tcW w:w="1358" w:type="dxa"/>
          </w:tcPr>
          <w:p w:rsidR="00BF2526" w:rsidRPr="00285C2D" w:rsidRDefault="00603721" w:rsidP="00BF2526">
            <w:pPr>
              <w:pStyle w:val="xl24"/>
              <w:spacing w:before="0" w:after="0"/>
              <w:jc w:val="right"/>
              <w:rPr>
                <w:sz w:val="20"/>
                <w:u w:val="none"/>
              </w:rPr>
            </w:pPr>
            <w:r>
              <w:rPr>
                <w:sz w:val="20"/>
                <w:u w:val="none"/>
              </w:rPr>
              <w:t>34,000</w:t>
            </w:r>
          </w:p>
        </w:tc>
        <w:tc>
          <w:tcPr>
            <w:tcW w:w="590" w:type="dxa"/>
          </w:tcPr>
          <w:p w:rsidR="00BF2526" w:rsidRPr="00285C2D" w:rsidRDefault="00BF2526" w:rsidP="00BF2526">
            <w:pPr>
              <w:pStyle w:val="xl24"/>
              <w:spacing w:before="0" w:after="0"/>
              <w:jc w:val="right"/>
              <w:rPr>
                <w:sz w:val="20"/>
                <w:u w:val="none"/>
              </w:rPr>
            </w:pPr>
          </w:p>
        </w:tc>
        <w:tc>
          <w:tcPr>
            <w:tcW w:w="607" w:type="dxa"/>
          </w:tcPr>
          <w:p w:rsidR="00BF2526" w:rsidRPr="00285C2D" w:rsidRDefault="00BF2526" w:rsidP="00BF2526">
            <w:pPr>
              <w:pStyle w:val="xl24"/>
              <w:spacing w:before="0" w:after="0"/>
              <w:jc w:val="right"/>
              <w:rPr>
                <w:sz w:val="20"/>
                <w:u w:val="none"/>
              </w:rPr>
            </w:pPr>
          </w:p>
        </w:tc>
        <w:tc>
          <w:tcPr>
            <w:tcW w:w="672" w:type="dxa"/>
          </w:tcPr>
          <w:p w:rsidR="00BF2526" w:rsidRPr="00285C2D" w:rsidRDefault="00BF2526" w:rsidP="00BF2526">
            <w:pPr>
              <w:pStyle w:val="xl24"/>
              <w:spacing w:before="0" w:after="0"/>
              <w:jc w:val="right"/>
              <w:rPr>
                <w:sz w:val="20"/>
                <w:u w:val="none"/>
              </w:rPr>
            </w:pPr>
          </w:p>
        </w:tc>
        <w:tc>
          <w:tcPr>
            <w:tcW w:w="1535" w:type="dxa"/>
          </w:tcPr>
          <w:p w:rsidR="00BF2526" w:rsidRPr="00285C2D" w:rsidRDefault="00603721" w:rsidP="00AB310E">
            <w:pPr>
              <w:pStyle w:val="xl24"/>
              <w:spacing w:before="0" w:after="0"/>
              <w:jc w:val="right"/>
              <w:rPr>
                <w:sz w:val="20"/>
                <w:u w:val="none"/>
              </w:rPr>
            </w:pPr>
            <w:r>
              <w:rPr>
                <w:sz w:val="20"/>
                <w:u w:val="none"/>
              </w:rPr>
              <w:t>3</w:t>
            </w:r>
            <w:r w:rsidR="00AB310E">
              <w:rPr>
                <w:sz w:val="20"/>
                <w:u w:val="none"/>
              </w:rPr>
              <w:t>4</w:t>
            </w:r>
            <w:r>
              <w:rPr>
                <w:sz w:val="20"/>
                <w:u w:val="none"/>
              </w:rPr>
              <w:t>,</w:t>
            </w:r>
            <w:r w:rsidR="00AB310E">
              <w:rPr>
                <w:sz w:val="20"/>
                <w:u w:val="none"/>
              </w:rPr>
              <w:t>0</w:t>
            </w:r>
            <w:r>
              <w:rPr>
                <w:sz w:val="20"/>
                <w:u w:val="none"/>
              </w:rPr>
              <w:t>00</w:t>
            </w:r>
          </w:p>
        </w:tc>
      </w:tr>
    </w:tbl>
    <w:p w:rsidR="00BF2526" w:rsidRPr="00DC4C9F" w:rsidRDefault="00BF2526" w:rsidP="00BF2526">
      <w:pPr>
        <w:pStyle w:val="xl24"/>
        <w:spacing w:before="0" w:after="0"/>
      </w:pPr>
    </w:p>
    <w:p w:rsidR="00BF2526" w:rsidRPr="00DC4C9F" w:rsidRDefault="00BF2526" w:rsidP="00BF2526">
      <w:pPr>
        <w:pStyle w:val="BodyText"/>
      </w:pPr>
      <w:r w:rsidRPr="00DC4C9F">
        <w:rPr>
          <w:u w:val="single"/>
        </w:rPr>
        <w:t>Personnel Reduction Cost Summary</w:t>
      </w:r>
    </w:p>
    <w:p w:rsidR="00BF2526" w:rsidRDefault="00BF2526" w:rsidP="00BF2526">
      <w:pPr>
        <w:rPr>
          <w:sz w:val="20"/>
        </w:rPr>
      </w:pPr>
    </w:p>
    <w:p w:rsidR="00BF2526" w:rsidRDefault="00BF2526" w:rsidP="00BF2526">
      <w:pPr>
        <w:rPr>
          <w:sz w:val="20"/>
        </w:rPr>
      </w:pPr>
      <w:r>
        <w:rPr>
          <w:sz w:val="20"/>
        </w:rPr>
        <w:t>Not Applicable</w:t>
      </w:r>
    </w:p>
    <w:p w:rsidR="00BF2526" w:rsidRPr="00DC4C9F" w:rsidRDefault="00BF2526" w:rsidP="00BF2526">
      <w:pPr>
        <w:rPr>
          <w:sz w:val="20"/>
        </w:rPr>
      </w:pPr>
    </w:p>
    <w:p w:rsidR="00BF2526" w:rsidRPr="00DC4C9F" w:rsidRDefault="00BF2526" w:rsidP="00BF2526">
      <w:pPr>
        <w:pStyle w:val="xl24"/>
        <w:spacing w:before="0" w:after="0"/>
      </w:pPr>
      <w:r w:rsidRPr="00DC4C9F">
        <w:lastRenderedPageBreak/>
        <w:t>Non-Personnel Reduction Cost Summary</w:t>
      </w:r>
    </w:p>
    <w:p w:rsidR="00BF2526" w:rsidRDefault="00BF2526" w:rsidP="00BF2526">
      <w:pPr>
        <w:rPr>
          <w:sz w:val="20"/>
        </w:rPr>
      </w:pPr>
    </w:p>
    <w:p w:rsidR="00BF2526" w:rsidRDefault="00BF2526" w:rsidP="00BF2526">
      <w:pPr>
        <w:rPr>
          <w:sz w:val="20"/>
        </w:rPr>
      </w:pPr>
      <w:r>
        <w:rPr>
          <w:sz w:val="20"/>
        </w:rPr>
        <w:t>Not Applicable</w:t>
      </w:r>
    </w:p>
    <w:p w:rsidR="00BF2526" w:rsidRPr="00DC4C9F" w:rsidRDefault="00BF2526" w:rsidP="00BF2526">
      <w:pPr>
        <w:rPr>
          <w:sz w:val="20"/>
        </w:rPr>
      </w:pPr>
    </w:p>
    <w:p w:rsidR="00BF2526" w:rsidRPr="00DC4C9F" w:rsidRDefault="00BF2526" w:rsidP="00BF2526">
      <w:pPr>
        <w:pStyle w:val="xl24"/>
        <w:spacing w:before="0" w:after="0"/>
        <w:rPr>
          <w:szCs w:val="24"/>
        </w:rPr>
      </w:pPr>
      <w:r w:rsidRPr="00DC4C9F">
        <w:rPr>
          <w:szCs w:val="24"/>
        </w:rPr>
        <w:t>Total Request for this Item</w:t>
      </w:r>
    </w:p>
    <w:p w:rsidR="00BF2526" w:rsidRPr="00DC4C9F" w:rsidRDefault="00BF2526" w:rsidP="00BF2526">
      <w:pPr>
        <w:pStyle w:val="xl24"/>
        <w:spacing w:before="0" w:after="0"/>
        <w:rPr>
          <w:szCs w:val="24"/>
        </w:rPr>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754"/>
        <w:gridCol w:w="940"/>
        <w:gridCol w:w="758"/>
        <w:gridCol w:w="1253"/>
        <w:gridCol w:w="1390"/>
        <w:gridCol w:w="1310"/>
      </w:tblGrid>
      <w:tr w:rsidR="00AA3801" w:rsidRPr="00DC4C9F" w:rsidTr="00AA3801">
        <w:trPr>
          <w:trHeight w:val="658"/>
        </w:trPr>
        <w:tc>
          <w:tcPr>
            <w:tcW w:w="1443" w:type="dxa"/>
            <w:shd w:val="clear" w:color="auto" w:fill="E6E6E6"/>
          </w:tcPr>
          <w:p w:rsidR="00AA3801" w:rsidRPr="00DC4C9F" w:rsidRDefault="00AA3801" w:rsidP="00BF2526">
            <w:pPr>
              <w:rPr>
                <w:sz w:val="20"/>
              </w:rPr>
            </w:pPr>
          </w:p>
        </w:tc>
        <w:tc>
          <w:tcPr>
            <w:tcW w:w="754" w:type="dxa"/>
            <w:vAlign w:val="center"/>
          </w:tcPr>
          <w:p w:rsidR="00AA3801" w:rsidRPr="00DC4C9F" w:rsidRDefault="00AA3801" w:rsidP="00BF2526">
            <w:pPr>
              <w:jc w:val="center"/>
              <w:rPr>
                <w:sz w:val="20"/>
              </w:rPr>
            </w:pPr>
            <w:r w:rsidRPr="00DC4C9F">
              <w:rPr>
                <w:sz w:val="20"/>
              </w:rPr>
              <w:t>Pos</w:t>
            </w:r>
          </w:p>
        </w:tc>
        <w:tc>
          <w:tcPr>
            <w:tcW w:w="940" w:type="dxa"/>
            <w:vAlign w:val="center"/>
          </w:tcPr>
          <w:p w:rsidR="00AA3801" w:rsidRPr="00DC4C9F" w:rsidRDefault="00AA3801" w:rsidP="00BF2526">
            <w:pPr>
              <w:jc w:val="center"/>
              <w:rPr>
                <w:sz w:val="20"/>
              </w:rPr>
            </w:pPr>
          </w:p>
          <w:p w:rsidR="00AA3801" w:rsidRPr="00DC4C9F" w:rsidRDefault="00AA3801" w:rsidP="00BF2526">
            <w:pPr>
              <w:jc w:val="center"/>
              <w:rPr>
                <w:sz w:val="20"/>
              </w:rPr>
            </w:pPr>
            <w:r w:rsidRPr="00DC4C9F">
              <w:rPr>
                <w:sz w:val="20"/>
              </w:rPr>
              <w:t>Agt/Atty</w:t>
            </w:r>
          </w:p>
          <w:p w:rsidR="00AA3801" w:rsidRPr="00DC4C9F" w:rsidRDefault="00AA3801" w:rsidP="00BF2526">
            <w:pPr>
              <w:jc w:val="center"/>
              <w:rPr>
                <w:sz w:val="20"/>
              </w:rPr>
            </w:pPr>
          </w:p>
        </w:tc>
        <w:tc>
          <w:tcPr>
            <w:tcW w:w="758" w:type="dxa"/>
            <w:vAlign w:val="center"/>
          </w:tcPr>
          <w:p w:rsidR="00AA3801" w:rsidRPr="00DC4C9F" w:rsidRDefault="00AA3801" w:rsidP="00BF2526">
            <w:pPr>
              <w:jc w:val="center"/>
              <w:rPr>
                <w:sz w:val="20"/>
              </w:rPr>
            </w:pPr>
            <w:r w:rsidRPr="00DC4C9F">
              <w:rPr>
                <w:sz w:val="20"/>
              </w:rPr>
              <w:t>FTE</w:t>
            </w:r>
          </w:p>
        </w:tc>
        <w:tc>
          <w:tcPr>
            <w:tcW w:w="1253" w:type="dxa"/>
            <w:vAlign w:val="center"/>
          </w:tcPr>
          <w:p w:rsidR="00AA3801" w:rsidRPr="00DC4C9F" w:rsidRDefault="00AA3801" w:rsidP="00BF2526">
            <w:pPr>
              <w:jc w:val="center"/>
              <w:rPr>
                <w:sz w:val="20"/>
              </w:rPr>
            </w:pPr>
            <w:r w:rsidRPr="00DC4C9F">
              <w:rPr>
                <w:sz w:val="20"/>
              </w:rPr>
              <w:t>Personnel</w:t>
            </w:r>
          </w:p>
          <w:p w:rsidR="00AA3801" w:rsidRPr="00DC4C9F" w:rsidRDefault="00AA3801" w:rsidP="00BF2526">
            <w:pPr>
              <w:jc w:val="center"/>
              <w:rPr>
                <w:sz w:val="20"/>
              </w:rPr>
            </w:pPr>
            <w:r w:rsidRPr="00DC4C9F">
              <w:rPr>
                <w:sz w:val="20"/>
              </w:rPr>
              <w:t>($000)</w:t>
            </w:r>
          </w:p>
        </w:tc>
        <w:tc>
          <w:tcPr>
            <w:tcW w:w="1390" w:type="dxa"/>
            <w:vAlign w:val="center"/>
          </w:tcPr>
          <w:p w:rsidR="00AA3801" w:rsidRPr="00DC4C9F" w:rsidRDefault="00AA3801" w:rsidP="00BF2526">
            <w:pPr>
              <w:jc w:val="center"/>
              <w:rPr>
                <w:sz w:val="20"/>
              </w:rPr>
            </w:pPr>
            <w:r w:rsidRPr="00DC4C9F">
              <w:rPr>
                <w:sz w:val="20"/>
              </w:rPr>
              <w:t>Non-Personnel</w:t>
            </w:r>
          </w:p>
          <w:p w:rsidR="00AA3801" w:rsidRPr="00DC4C9F" w:rsidRDefault="00AA3801" w:rsidP="00BF2526">
            <w:pPr>
              <w:jc w:val="center"/>
              <w:rPr>
                <w:sz w:val="20"/>
              </w:rPr>
            </w:pPr>
            <w:r w:rsidRPr="00DC4C9F">
              <w:rPr>
                <w:sz w:val="20"/>
              </w:rPr>
              <w:t>($000)</w:t>
            </w:r>
          </w:p>
        </w:tc>
        <w:tc>
          <w:tcPr>
            <w:tcW w:w="1310" w:type="dxa"/>
            <w:vAlign w:val="center"/>
          </w:tcPr>
          <w:p w:rsidR="00AA3801" w:rsidRPr="00DC4C9F" w:rsidRDefault="00AA3801" w:rsidP="00BF2526">
            <w:pPr>
              <w:jc w:val="center"/>
              <w:rPr>
                <w:sz w:val="20"/>
              </w:rPr>
            </w:pPr>
            <w:r w:rsidRPr="00DC4C9F">
              <w:rPr>
                <w:sz w:val="20"/>
              </w:rPr>
              <w:t>Total</w:t>
            </w:r>
          </w:p>
          <w:p w:rsidR="00AA3801" w:rsidRPr="00DC4C9F" w:rsidRDefault="00AA3801" w:rsidP="00BF2526">
            <w:pPr>
              <w:jc w:val="center"/>
              <w:rPr>
                <w:sz w:val="20"/>
              </w:rPr>
            </w:pPr>
            <w:r w:rsidRPr="00DC4C9F">
              <w:rPr>
                <w:sz w:val="20"/>
              </w:rPr>
              <w:t>($000)</w:t>
            </w:r>
          </w:p>
        </w:tc>
      </w:tr>
      <w:tr w:rsidR="00AA3801" w:rsidRPr="00DC4C9F" w:rsidTr="00AA3801">
        <w:trPr>
          <w:trHeight w:val="215"/>
        </w:trPr>
        <w:tc>
          <w:tcPr>
            <w:tcW w:w="1443" w:type="dxa"/>
          </w:tcPr>
          <w:p w:rsidR="00AA3801" w:rsidRPr="00DC4C9F" w:rsidRDefault="00AA3801" w:rsidP="00BF2526">
            <w:pPr>
              <w:rPr>
                <w:sz w:val="20"/>
              </w:rPr>
            </w:pPr>
            <w:r w:rsidRPr="00DC4C9F">
              <w:rPr>
                <w:sz w:val="20"/>
              </w:rPr>
              <w:t>Current Services</w:t>
            </w:r>
          </w:p>
        </w:tc>
        <w:tc>
          <w:tcPr>
            <w:tcW w:w="754" w:type="dxa"/>
            <w:vAlign w:val="center"/>
          </w:tcPr>
          <w:p w:rsidR="00AA3801" w:rsidRPr="00DC4C9F" w:rsidRDefault="00AA3801" w:rsidP="00BF2526">
            <w:pPr>
              <w:jc w:val="right"/>
              <w:rPr>
                <w:sz w:val="20"/>
              </w:rPr>
            </w:pPr>
          </w:p>
        </w:tc>
        <w:tc>
          <w:tcPr>
            <w:tcW w:w="940" w:type="dxa"/>
          </w:tcPr>
          <w:p w:rsidR="00AA3801" w:rsidRPr="00DC4C9F" w:rsidRDefault="00AA3801" w:rsidP="00BF2526">
            <w:pPr>
              <w:jc w:val="right"/>
              <w:rPr>
                <w:sz w:val="20"/>
              </w:rPr>
            </w:pPr>
          </w:p>
        </w:tc>
        <w:tc>
          <w:tcPr>
            <w:tcW w:w="758" w:type="dxa"/>
            <w:vAlign w:val="center"/>
          </w:tcPr>
          <w:p w:rsidR="00AA3801" w:rsidRPr="00DC4C9F" w:rsidRDefault="00AA3801" w:rsidP="00BF2526">
            <w:pPr>
              <w:jc w:val="right"/>
              <w:rPr>
                <w:sz w:val="20"/>
              </w:rPr>
            </w:pPr>
          </w:p>
        </w:tc>
        <w:tc>
          <w:tcPr>
            <w:tcW w:w="1253" w:type="dxa"/>
            <w:vAlign w:val="center"/>
          </w:tcPr>
          <w:p w:rsidR="00AA3801" w:rsidRPr="00DC4C9F" w:rsidRDefault="00AA3801" w:rsidP="00BF2526">
            <w:pPr>
              <w:jc w:val="right"/>
              <w:rPr>
                <w:sz w:val="20"/>
              </w:rPr>
            </w:pPr>
          </w:p>
        </w:tc>
        <w:tc>
          <w:tcPr>
            <w:tcW w:w="1390" w:type="dxa"/>
            <w:vAlign w:val="center"/>
          </w:tcPr>
          <w:p w:rsidR="00AA3801" w:rsidRPr="00DC4C9F" w:rsidRDefault="00603721" w:rsidP="00E4058F">
            <w:pPr>
              <w:jc w:val="center"/>
              <w:rPr>
                <w:sz w:val="20"/>
              </w:rPr>
            </w:pPr>
            <w:r>
              <w:rPr>
                <w:sz w:val="20"/>
              </w:rPr>
              <w:t>$34,000</w:t>
            </w:r>
          </w:p>
        </w:tc>
        <w:tc>
          <w:tcPr>
            <w:tcW w:w="1310" w:type="dxa"/>
            <w:vAlign w:val="center"/>
          </w:tcPr>
          <w:p w:rsidR="00AA3801" w:rsidRPr="00DC4C9F" w:rsidRDefault="00603721" w:rsidP="00E4058F">
            <w:pPr>
              <w:jc w:val="center"/>
              <w:rPr>
                <w:sz w:val="20"/>
              </w:rPr>
            </w:pPr>
            <w:r>
              <w:rPr>
                <w:sz w:val="20"/>
              </w:rPr>
              <w:t>$34,000</w:t>
            </w:r>
          </w:p>
        </w:tc>
      </w:tr>
      <w:tr w:rsidR="00AA3801" w:rsidRPr="00DC4C9F" w:rsidTr="00AA3801">
        <w:trPr>
          <w:trHeight w:val="215"/>
        </w:trPr>
        <w:tc>
          <w:tcPr>
            <w:tcW w:w="1443" w:type="dxa"/>
          </w:tcPr>
          <w:p w:rsidR="00AA3801" w:rsidRPr="00DC4C9F" w:rsidRDefault="00AA3801" w:rsidP="00BF2526">
            <w:pPr>
              <w:rPr>
                <w:sz w:val="20"/>
              </w:rPr>
            </w:pPr>
            <w:r w:rsidRPr="00DC4C9F">
              <w:rPr>
                <w:sz w:val="20"/>
              </w:rPr>
              <w:t>Increases</w:t>
            </w:r>
          </w:p>
        </w:tc>
        <w:tc>
          <w:tcPr>
            <w:tcW w:w="754" w:type="dxa"/>
            <w:vAlign w:val="center"/>
          </w:tcPr>
          <w:p w:rsidR="00AA3801" w:rsidRPr="00DC4C9F" w:rsidRDefault="00AA3801" w:rsidP="00BF2526">
            <w:pPr>
              <w:jc w:val="right"/>
              <w:rPr>
                <w:sz w:val="20"/>
              </w:rPr>
            </w:pPr>
          </w:p>
        </w:tc>
        <w:tc>
          <w:tcPr>
            <w:tcW w:w="940" w:type="dxa"/>
          </w:tcPr>
          <w:p w:rsidR="00AA3801" w:rsidRPr="00DC4C9F" w:rsidRDefault="00AA3801" w:rsidP="00BF2526">
            <w:pPr>
              <w:jc w:val="right"/>
              <w:rPr>
                <w:sz w:val="20"/>
              </w:rPr>
            </w:pPr>
          </w:p>
        </w:tc>
        <w:tc>
          <w:tcPr>
            <w:tcW w:w="758" w:type="dxa"/>
            <w:vAlign w:val="center"/>
          </w:tcPr>
          <w:p w:rsidR="00AA3801" w:rsidRPr="00DC4C9F" w:rsidRDefault="00AA3801" w:rsidP="00BF2526">
            <w:pPr>
              <w:jc w:val="right"/>
              <w:rPr>
                <w:sz w:val="20"/>
              </w:rPr>
            </w:pPr>
          </w:p>
        </w:tc>
        <w:tc>
          <w:tcPr>
            <w:tcW w:w="1253" w:type="dxa"/>
            <w:vAlign w:val="center"/>
          </w:tcPr>
          <w:p w:rsidR="00AA3801" w:rsidRPr="00DC4C9F" w:rsidRDefault="00AA3801" w:rsidP="00BF2526">
            <w:pPr>
              <w:jc w:val="right"/>
              <w:rPr>
                <w:sz w:val="20"/>
              </w:rPr>
            </w:pPr>
          </w:p>
        </w:tc>
        <w:tc>
          <w:tcPr>
            <w:tcW w:w="1390" w:type="dxa"/>
            <w:vAlign w:val="center"/>
          </w:tcPr>
          <w:p w:rsidR="00AA3801" w:rsidRPr="00DC4C9F" w:rsidRDefault="00603721" w:rsidP="00A95653">
            <w:pPr>
              <w:jc w:val="center"/>
              <w:rPr>
                <w:sz w:val="20"/>
              </w:rPr>
            </w:pPr>
            <w:r>
              <w:rPr>
                <w:sz w:val="20"/>
              </w:rPr>
              <w:t>$3,500</w:t>
            </w:r>
          </w:p>
        </w:tc>
        <w:tc>
          <w:tcPr>
            <w:tcW w:w="1310" w:type="dxa"/>
            <w:vAlign w:val="center"/>
          </w:tcPr>
          <w:p w:rsidR="00AA3801" w:rsidRPr="00DC4C9F" w:rsidRDefault="00603721" w:rsidP="00E4058F">
            <w:pPr>
              <w:jc w:val="center"/>
              <w:rPr>
                <w:sz w:val="20"/>
              </w:rPr>
            </w:pPr>
            <w:r>
              <w:rPr>
                <w:sz w:val="20"/>
              </w:rPr>
              <w:t>$3,500</w:t>
            </w:r>
          </w:p>
        </w:tc>
      </w:tr>
      <w:tr w:rsidR="00AA3801" w:rsidRPr="00DC4C9F" w:rsidTr="00AA3801">
        <w:trPr>
          <w:trHeight w:val="215"/>
        </w:trPr>
        <w:tc>
          <w:tcPr>
            <w:tcW w:w="1443" w:type="dxa"/>
          </w:tcPr>
          <w:p w:rsidR="00AA3801" w:rsidRPr="00DC4C9F" w:rsidRDefault="00AA3801" w:rsidP="00BF2526">
            <w:pPr>
              <w:rPr>
                <w:sz w:val="20"/>
              </w:rPr>
            </w:pPr>
            <w:r w:rsidRPr="00DC4C9F">
              <w:rPr>
                <w:sz w:val="20"/>
              </w:rPr>
              <w:t>Grand Total</w:t>
            </w:r>
          </w:p>
        </w:tc>
        <w:tc>
          <w:tcPr>
            <w:tcW w:w="754" w:type="dxa"/>
            <w:vAlign w:val="center"/>
          </w:tcPr>
          <w:p w:rsidR="00AA3801" w:rsidRPr="00DC4C9F" w:rsidRDefault="00AA3801" w:rsidP="00BF2526">
            <w:pPr>
              <w:jc w:val="right"/>
              <w:rPr>
                <w:sz w:val="20"/>
              </w:rPr>
            </w:pPr>
          </w:p>
        </w:tc>
        <w:tc>
          <w:tcPr>
            <w:tcW w:w="940" w:type="dxa"/>
          </w:tcPr>
          <w:p w:rsidR="00AA3801" w:rsidRPr="00DC4C9F" w:rsidRDefault="00AA3801" w:rsidP="00BF2526">
            <w:pPr>
              <w:jc w:val="right"/>
              <w:rPr>
                <w:sz w:val="20"/>
              </w:rPr>
            </w:pPr>
          </w:p>
        </w:tc>
        <w:tc>
          <w:tcPr>
            <w:tcW w:w="758" w:type="dxa"/>
            <w:vAlign w:val="center"/>
          </w:tcPr>
          <w:p w:rsidR="00AA3801" w:rsidRPr="00DC4C9F" w:rsidRDefault="00AA3801" w:rsidP="00BF2526">
            <w:pPr>
              <w:jc w:val="right"/>
              <w:rPr>
                <w:sz w:val="20"/>
              </w:rPr>
            </w:pPr>
          </w:p>
        </w:tc>
        <w:tc>
          <w:tcPr>
            <w:tcW w:w="1253" w:type="dxa"/>
            <w:vAlign w:val="center"/>
          </w:tcPr>
          <w:p w:rsidR="00AA3801" w:rsidRPr="00DC4C9F" w:rsidRDefault="00AA3801" w:rsidP="00BF2526">
            <w:pPr>
              <w:jc w:val="right"/>
              <w:rPr>
                <w:sz w:val="20"/>
              </w:rPr>
            </w:pPr>
          </w:p>
        </w:tc>
        <w:tc>
          <w:tcPr>
            <w:tcW w:w="1390" w:type="dxa"/>
            <w:vAlign w:val="center"/>
          </w:tcPr>
          <w:p w:rsidR="00AA3801" w:rsidRPr="00DC4C9F" w:rsidRDefault="00603721" w:rsidP="007B6998">
            <w:pPr>
              <w:jc w:val="center"/>
              <w:rPr>
                <w:sz w:val="20"/>
              </w:rPr>
            </w:pPr>
            <w:r>
              <w:rPr>
                <w:sz w:val="20"/>
              </w:rPr>
              <w:t>$37,500</w:t>
            </w:r>
          </w:p>
        </w:tc>
        <w:tc>
          <w:tcPr>
            <w:tcW w:w="1310" w:type="dxa"/>
            <w:vAlign w:val="center"/>
          </w:tcPr>
          <w:p w:rsidR="00AA3801" w:rsidRPr="00DC4C9F" w:rsidRDefault="00603721" w:rsidP="007B6998">
            <w:pPr>
              <w:jc w:val="center"/>
              <w:rPr>
                <w:sz w:val="20"/>
              </w:rPr>
            </w:pPr>
            <w:r>
              <w:rPr>
                <w:sz w:val="20"/>
              </w:rPr>
              <w:t>$37,500</w:t>
            </w:r>
          </w:p>
        </w:tc>
      </w:tr>
    </w:tbl>
    <w:p w:rsidR="00A27499" w:rsidRDefault="00A27499" w:rsidP="00BF2526">
      <w:pPr>
        <w:pStyle w:val="BodyText"/>
        <w:ind w:right="-540"/>
        <w:rPr>
          <w:rFonts w:cs="Arial"/>
          <w:b/>
          <w:sz w:val="28"/>
          <w:szCs w:val="28"/>
          <w:highlight w:val="yellow"/>
        </w:rPr>
      </w:pPr>
    </w:p>
    <w:p w:rsidR="005F22D5" w:rsidRDefault="005F22D5" w:rsidP="00BF2526">
      <w:pPr>
        <w:pStyle w:val="BodyText"/>
        <w:ind w:right="-540"/>
        <w:rPr>
          <w:rFonts w:cs="Arial"/>
          <w:b/>
          <w:sz w:val="28"/>
          <w:szCs w:val="28"/>
          <w:highlight w:val="yellow"/>
        </w:rPr>
      </w:pPr>
    </w:p>
    <w:p w:rsidR="00612F80" w:rsidRDefault="00612F80" w:rsidP="002D56F5">
      <w:pPr>
        <w:pStyle w:val="xl27"/>
        <w:spacing w:before="0" w:after="0"/>
        <w:ind w:right="-540"/>
        <w:rPr>
          <w:rFonts w:ascii="Times New Roman" w:hAnsi="Times New Roman"/>
          <w:sz w:val="28"/>
          <w:szCs w:val="28"/>
        </w:rPr>
      </w:pPr>
      <w:r w:rsidRPr="00D172B9">
        <w:rPr>
          <w:rFonts w:ascii="Times New Roman" w:hAnsi="Times New Roman"/>
          <w:sz w:val="28"/>
          <w:szCs w:val="28"/>
        </w:rPr>
        <w:t>V</w:t>
      </w:r>
      <w:r>
        <w:rPr>
          <w:rFonts w:ascii="Times New Roman" w:hAnsi="Times New Roman"/>
          <w:sz w:val="28"/>
          <w:szCs w:val="28"/>
        </w:rPr>
        <w:t>I</w:t>
      </w:r>
      <w:r w:rsidRPr="00D172B9">
        <w:rPr>
          <w:rFonts w:ascii="Times New Roman" w:hAnsi="Times New Roman"/>
          <w:sz w:val="28"/>
          <w:szCs w:val="28"/>
        </w:rPr>
        <w:t>I. Program Offsets by Item</w:t>
      </w:r>
    </w:p>
    <w:p w:rsidR="00612F80" w:rsidRDefault="00612F80" w:rsidP="002D56F5">
      <w:pPr>
        <w:pStyle w:val="xl27"/>
        <w:spacing w:before="0" w:after="0"/>
        <w:ind w:right="-540"/>
        <w:rPr>
          <w:rFonts w:ascii="Times New Roman" w:hAnsi="Times New Roman"/>
          <w:sz w:val="28"/>
          <w:szCs w:val="28"/>
        </w:rPr>
      </w:pPr>
    </w:p>
    <w:p w:rsidR="001819C3" w:rsidRPr="00950EF3" w:rsidRDefault="001819C3" w:rsidP="001819C3">
      <w:pPr>
        <w:ind w:left="3420" w:right="-1080" w:hanging="3420"/>
        <w:rPr>
          <w:b/>
        </w:rPr>
      </w:pPr>
      <w:r>
        <w:rPr>
          <w:b/>
          <w:bCs/>
        </w:rPr>
        <w:t>A</w:t>
      </w:r>
      <w:r w:rsidRPr="00950EF3">
        <w:rPr>
          <w:b/>
          <w:bCs/>
        </w:rPr>
        <w:t>.  Item Name:</w:t>
      </w:r>
      <w:r w:rsidRPr="00950EF3">
        <w:rPr>
          <w:b/>
          <w:bCs/>
        </w:rPr>
        <w:tab/>
      </w:r>
      <w:r w:rsidRPr="00950EF3">
        <w:rPr>
          <w:b/>
        </w:rPr>
        <w:t>Service-Training-Officers-Prosecutors (STOP) Violence Against Women Formula Grant Program (STOP Program)</w:t>
      </w:r>
    </w:p>
    <w:p w:rsidR="001819C3" w:rsidRPr="004463F2" w:rsidRDefault="001819C3" w:rsidP="001819C3">
      <w:pPr>
        <w:pStyle w:val="xl19"/>
        <w:tabs>
          <w:tab w:val="left" w:pos="3420"/>
          <w:tab w:val="right" w:pos="8640"/>
        </w:tabs>
        <w:spacing w:before="0" w:after="0"/>
        <w:ind w:right="-1080"/>
      </w:pPr>
    </w:p>
    <w:p w:rsidR="001819C3" w:rsidRPr="00950EF3" w:rsidRDefault="001819C3" w:rsidP="001819C3">
      <w:pPr>
        <w:pStyle w:val="xl19"/>
        <w:tabs>
          <w:tab w:val="left" w:pos="3420"/>
          <w:tab w:val="right" w:pos="8640"/>
        </w:tabs>
        <w:spacing w:before="0" w:after="0"/>
        <w:ind w:left="3420" w:right="-1080" w:hanging="3420"/>
      </w:pPr>
      <w:r w:rsidRPr="00950EF3">
        <w:t xml:space="preserve">Budget Decision Unit(s): </w:t>
      </w:r>
      <w:r w:rsidRPr="00950EF3">
        <w:tab/>
        <w:t>Prevention and Prosecution of Violence Against Women and Related Victim Services Program</w:t>
      </w:r>
    </w:p>
    <w:p w:rsidR="001819C3" w:rsidRPr="00950EF3" w:rsidRDefault="001819C3" w:rsidP="001819C3">
      <w:pPr>
        <w:pStyle w:val="xl19"/>
        <w:tabs>
          <w:tab w:val="left" w:pos="3420"/>
          <w:tab w:val="right" w:pos="8640"/>
        </w:tabs>
        <w:spacing w:before="0" w:after="0"/>
        <w:ind w:left="3420" w:right="-1080" w:hanging="3420"/>
      </w:pPr>
      <w:r w:rsidRPr="00950EF3">
        <w:t>Strategic Goal(s) &amp; Objective(s):</w:t>
      </w:r>
      <w:r w:rsidRPr="00950EF3">
        <w:tab/>
        <w:t xml:space="preserve">2.1 Strengthen partnerships for safer communities and enhance the Nation’s Capacity to prevent, solve, and control crime.                                                                                       </w:t>
      </w:r>
    </w:p>
    <w:p w:rsidR="001819C3" w:rsidRPr="00950EF3" w:rsidRDefault="001819C3" w:rsidP="001819C3">
      <w:pPr>
        <w:pStyle w:val="xl19"/>
        <w:tabs>
          <w:tab w:val="left" w:pos="3420"/>
          <w:tab w:val="right" w:pos="8640"/>
        </w:tabs>
        <w:spacing w:before="0" w:after="0"/>
        <w:ind w:left="3420" w:right="-1080" w:hanging="3420"/>
      </w:pPr>
      <w:r w:rsidRPr="00950EF3">
        <w:t>Organizational Program:</w:t>
      </w:r>
      <w:r w:rsidRPr="00950EF3">
        <w:tab/>
        <w:t>Service-Training-Officers-Prosecutors (STOP) Violence Against Women Formula Grant Program (STOP Program)</w:t>
      </w:r>
    </w:p>
    <w:p w:rsidR="001819C3" w:rsidRPr="00950EF3" w:rsidRDefault="001819C3" w:rsidP="001819C3">
      <w:pPr>
        <w:pStyle w:val="xl19"/>
        <w:tabs>
          <w:tab w:val="left" w:pos="3420"/>
          <w:tab w:val="right" w:pos="4320"/>
        </w:tabs>
        <w:spacing w:before="0" w:after="0"/>
        <w:ind w:right="-1080"/>
      </w:pPr>
    </w:p>
    <w:p w:rsidR="001819C3" w:rsidRPr="00950EF3" w:rsidRDefault="001819C3" w:rsidP="001819C3">
      <w:pPr>
        <w:pStyle w:val="xl19"/>
        <w:tabs>
          <w:tab w:val="left" w:pos="3420"/>
          <w:tab w:val="right" w:pos="4320"/>
        </w:tabs>
        <w:spacing w:before="0" w:after="0"/>
        <w:ind w:right="-1080"/>
        <w:rPr>
          <w:u w:val="single"/>
        </w:rPr>
      </w:pPr>
      <w:r w:rsidRPr="00950EF3">
        <w:t xml:space="preserve">Component Ranking of Item: </w:t>
      </w:r>
      <w:r w:rsidRPr="00950EF3">
        <w:tab/>
      </w:r>
      <w:r>
        <w:t xml:space="preserve">1 </w:t>
      </w:r>
      <w:r w:rsidRPr="00950EF3">
        <w:t xml:space="preserve">of </w:t>
      </w:r>
      <w:r w:rsidR="00603721">
        <w:t>3</w:t>
      </w:r>
    </w:p>
    <w:p w:rsidR="001819C3" w:rsidRPr="00950EF3" w:rsidRDefault="001819C3" w:rsidP="001819C3">
      <w:pPr>
        <w:pStyle w:val="xl19"/>
        <w:tabs>
          <w:tab w:val="left" w:pos="3420"/>
          <w:tab w:val="right" w:pos="4320"/>
        </w:tabs>
        <w:spacing w:before="0" w:after="0"/>
        <w:ind w:right="-1080"/>
        <w:rPr>
          <w:u w:val="single"/>
        </w:rPr>
      </w:pPr>
    </w:p>
    <w:p w:rsidR="001819C3" w:rsidRPr="00950EF3" w:rsidRDefault="001819C3" w:rsidP="001819C3">
      <w:pPr>
        <w:pStyle w:val="xl19"/>
        <w:tabs>
          <w:tab w:val="left" w:pos="2340"/>
          <w:tab w:val="right" w:pos="3060"/>
          <w:tab w:val="left" w:pos="3600"/>
          <w:tab w:val="right" w:pos="4500"/>
          <w:tab w:val="left" w:pos="5310"/>
          <w:tab w:val="right" w:pos="6300"/>
        </w:tabs>
        <w:spacing w:before="0" w:after="0"/>
        <w:ind w:right="-1080"/>
        <w:rPr>
          <w:u w:val="single"/>
        </w:rPr>
      </w:pPr>
      <w:r w:rsidRPr="00950EF3">
        <w:t xml:space="preserve">Program </w:t>
      </w:r>
      <w:r>
        <w:t>Reduction</w:t>
      </w:r>
      <w:r w:rsidRPr="00950EF3">
        <w:t xml:space="preserve">:  Positions </w:t>
      </w:r>
      <w:r w:rsidRPr="00950EF3">
        <w:rPr>
          <w:u w:val="single"/>
        </w:rPr>
        <w:t>0  _</w:t>
      </w:r>
      <w:r w:rsidRPr="00950EF3">
        <w:t xml:space="preserve">  Agt/Atty__</w:t>
      </w:r>
      <w:r w:rsidRPr="00950EF3">
        <w:rPr>
          <w:u w:val="single"/>
        </w:rPr>
        <w:t>0</w:t>
      </w:r>
      <w:r w:rsidRPr="00950EF3">
        <w:t xml:space="preserve">__  FTE  </w:t>
      </w:r>
      <w:r w:rsidRPr="00950EF3">
        <w:rPr>
          <w:u w:val="single"/>
        </w:rPr>
        <w:t>___0_</w:t>
      </w:r>
      <w:r w:rsidRPr="00950EF3">
        <w:t xml:space="preserve">  Dollars  </w:t>
      </w:r>
      <w:r w:rsidRPr="00950EF3">
        <w:rPr>
          <w:u w:val="single"/>
        </w:rPr>
        <w:t>$__</w:t>
      </w:r>
      <w:r>
        <w:rPr>
          <w:u w:val="single"/>
        </w:rPr>
        <w:t>-</w:t>
      </w:r>
      <w:r w:rsidR="00603721">
        <w:rPr>
          <w:u w:val="single"/>
        </w:rPr>
        <w:t>144,500,000</w:t>
      </w:r>
    </w:p>
    <w:p w:rsidR="001819C3" w:rsidRPr="00950EF3" w:rsidRDefault="001819C3" w:rsidP="001819C3">
      <w:pPr>
        <w:pStyle w:val="xl19"/>
        <w:tabs>
          <w:tab w:val="left" w:pos="2340"/>
          <w:tab w:val="right" w:pos="3060"/>
          <w:tab w:val="left" w:pos="3600"/>
          <w:tab w:val="right" w:pos="4500"/>
          <w:tab w:val="left" w:pos="5310"/>
          <w:tab w:val="right" w:pos="6300"/>
        </w:tabs>
        <w:spacing w:before="0" w:after="0"/>
        <w:ind w:right="-1080"/>
        <w:rPr>
          <w:u w:val="single"/>
        </w:rPr>
      </w:pPr>
    </w:p>
    <w:p w:rsidR="001819C3" w:rsidRPr="008D25C7" w:rsidRDefault="001819C3" w:rsidP="001819C3">
      <w:pPr>
        <w:pStyle w:val="xl24"/>
        <w:spacing w:before="0" w:after="0"/>
        <w:ind w:right="-1080"/>
      </w:pPr>
      <w:r w:rsidRPr="008D25C7">
        <w:t>Description of Item</w:t>
      </w:r>
    </w:p>
    <w:p w:rsidR="001819C3" w:rsidRPr="00417817" w:rsidRDefault="001819C3" w:rsidP="00417817">
      <w:pPr>
        <w:autoSpaceDE w:val="0"/>
        <w:autoSpaceDN w:val="0"/>
        <w:adjustRightInd w:val="0"/>
        <w:rPr>
          <w:rFonts w:ascii="Arial" w:hAnsi="Arial" w:cs="Arial"/>
          <w:sz w:val="20"/>
          <w:szCs w:val="20"/>
        </w:rPr>
      </w:pPr>
      <w:r w:rsidRPr="00B9649B">
        <w:t>The FY201</w:t>
      </w:r>
      <w:r w:rsidR="004A2AA3">
        <w:t>2</w:t>
      </w:r>
      <w:r w:rsidRPr="00B9649B">
        <w:t xml:space="preserve"> </w:t>
      </w:r>
      <w:r w:rsidR="003C7266">
        <w:t xml:space="preserve">Enacted </w:t>
      </w:r>
      <w:r w:rsidR="00ED7AF1">
        <w:t xml:space="preserve">level is </w:t>
      </w:r>
      <w:r w:rsidRPr="00B9649B">
        <w:t>$</w:t>
      </w:r>
      <w:r w:rsidR="004A2AA3">
        <w:t>189</w:t>
      </w:r>
      <w:r w:rsidR="003C7266">
        <w:t>,</w:t>
      </w:r>
      <w:r w:rsidR="004A2AA3">
        <w:t>00</w:t>
      </w:r>
      <w:r w:rsidR="003C7266">
        <w:t>0,000</w:t>
      </w:r>
      <w:r w:rsidRPr="00B9649B">
        <w:t xml:space="preserve"> for the STOP Program.  </w:t>
      </w:r>
      <w:r w:rsidR="00417817" w:rsidRPr="00417817">
        <w:t xml:space="preserve">In FY 2013, </w:t>
      </w:r>
      <w:r w:rsidR="00D37378">
        <w:t>we are requesting</w:t>
      </w:r>
      <w:r w:rsidR="00417817" w:rsidRPr="00417817">
        <w:t xml:space="preserve"> $189</w:t>
      </w:r>
      <w:r w:rsidR="00B04F90">
        <w:t>,000,000</w:t>
      </w:r>
      <w:r w:rsidR="00D37378">
        <w:t xml:space="preserve"> for STOP</w:t>
      </w:r>
      <w:r w:rsidR="00417817" w:rsidRPr="00417817">
        <w:t xml:space="preserve">, of which $144,500,000 will be </w:t>
      </w:r>
      <w:r w:rsidR="00D37378">
        <w:t xml:space="preserve">funded by transfer </w:t>
      </w:r>
      <w:r w:rsidR="00417817" w:rsidRPr="00417817">
        <w:t xml:space="preserve">from the </w:t>
      </w:r>
      <w:r w:rsidR="00D37378">
        <w:t xml:space="preserve">Office of Justice Program’s </w:t>
      </w:r>
      <w:r w:rsidR="00417817" w:rsidRPr="00417817">
        <w:t xml:space="preserve">Crime Victims Fund and $44,500,000 </w:t>
      </w:r>
      <w:r w:rsidR="00D37378">
        <w:t>will be funded by the OVW’s appropriations.</w:t>
      </w:r>
      <w:r w:rsidR="00417817" w:rsidRPr="00417817">
        <w:t xml:space="preserve">  </w:t>
      </w:r>
    </w:p>
    <w:p w:rsidR="009D2450" w:rsidRPr="008D25C7" w:rsidRDefault="009D2450" w:rsidP="001819C3">
      <w:pPr>
        <w:ind w:right="-1080"/>
      </w:pPr>
    </w:p>
    <w:p w:rsidR="001819C3" w:rsidRPr="008D25C7" w:rsidRDefault="001819C3" w:rsidP="001819C3">
      <w:pPr>
        <w:pStyle w:val="xl24"/>
        <w:spacing w:before="0" w:after="0"/>
        <w:ind w:right="-1080"/>
      </w:pPr>
      <w:r w:rsidRPr="008D25C7">
        <w:t>Justification</w:t>
      </w:r>
    </w:p>
    <w:p w:rsidR="001819C3" w:rsidRDefault="00417817" w:rsidP="00EB7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080"/>
      </w:pPr>
      <w:r>
        <w:t xml:space="preserve">The </w:t>
      </w:r>
      <w:r w:rsidR="00D37378">
        <w:t>direct appropriated</w:t>
      </w:r>
      <w:r w:rsidR="00D37378" w:rsidRPr="00163083">
        <w:t xml:space="preserve"> </w:t>
      </w:r>
      <w:r w:rsidR="00EB71B1" w:rsidRPr="00163083">
        <w:t>program</w:t>
      </w:r>
      <w:r w:rsidR="004A2AA3">
        <w:t xml:space="preserve"> funding within the </w:t>
      </w:r>
      <w:r w:rsidR="00AB310E">
        <w:t xml:space="preserve">Violence </w:t>
      </w:r>
      <w:proofErr w:type="gramStart"/>
      <w:r w:rsidR="00AB310E">
        <w:t>Against</w:t>
      </w:r>
      <w:proofErr w:type="gramEnd"/>
      <w:r w:rsidR="00AB310E">
        <w:t xml:space="preserve"> Women Prevention and Prosecution Programs </w:t>
      </w:r>
      <w:r w:rsidR="00EB71B1" w:rsidRPr="00163083">
        <w:t xml:space="preserve">is being reduced </w:t>
      </w:r>
      <w:r w:rsidR="004A2AA3">
        <w:t xml:space="preserve">because $144,500,000 is being requested </w:t>
      </w:r>
      <w:r w:rsidR="00D37378">
        <w:t xml:space="preserve">to be funded by transfer </w:t>
      </w:r>
      <w:r w:rsidR="006A008F">
        <w:t xml:space="preserve">from </w:t>
      </w:r>
      <w:r w:rsidR="004A2AA3">
        <w:t>the Crime Victims Fund in the Office of Justice Programs (OJP).</w:t>
      </w:r>
      <w:r w:rsidR="007E7E2C">
        <w:t xml:space="preserve">  </w:t>
      </w:r>
      <w:r w:rsidR="006A008F">
        <w:rPr>
          <w:u w:val="single"/>
        </w:rPr>
        <w:t xml:space="preserve">In terms of total resources requested, </w:t>
      </w:r>
      <w:r w:rsidR="00D76986" w:rsidRPr="00D76986">
        <w:rPr>
          <w:u w:val="single"/>
        </w:rPr>
        <w:t>there is no net change to STOP in the FY 2013 request.</w:t>
      </w:r>
      <w:r w:rsidR="00D86B90">
        <w:t xml:space="preserve"> </w:t>
      </w:r>
    </w:p>
    <w:p w:rsidR="00CC1BB2" w:rsidRDefault="00CC1BB2" w:rsidP="00EB7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1080"/>
      </w:pPr>
    </w:p>
    <w:p w:rsidR="00BD73A8" w:rsidRDefault="00BD73A8" w:rsidP="001819C3">
      <w:pPr>
        <w:pStyle w:val="Heading1"/>
        <w:ind w:right="-1080"/>
        <w:rPr>
          <w:rFonts w:ascii="Times New Roman" w:hAnsi="Times New Roman"/>
          <w:bCs/>
        </w:rPr>
      </w:pPr>
    </w:p>
    <w:p w:rsidR="00BD73A8" w:rsidRDefault="00BD73A8" w:rsidP="001819C3">
      <w:pPr>
        <w:pStyle w:val="Heading1"/>
        <w:ind w:right="-1080"/>
        <w:rPr>
          <w:rFonts w:ascii="Times New Roman" w:hAnsi="Times New Roman"/>
          <w:bCs/>
        </w:rPr>
      </w:pPr>
    </w:p>
    <w:p w:rsidR="00BD73A8" w:rsidRPr="00BD73A8" w:rsidRDefault="00BD73A8" w:rsidP="00BD73A8"/>
    <w:p w:rsidR="00BD73A8" w:rsidRDefault="00BD73A8" w:rsidP="001819C3">
      <w:pPr>
        <w:pStyle w:val="Heading1"/>
        <w:ind w:right="-1080"/>
        <w:rPr>
          <w:rFonts w:ascii="Times New Roman" w:hAnsi="Times New Roman"/>
          <w:bCs/>
        </w:rPr>
      </w:pPr>
    </w:p>
    <w:p w:rsidR="00BD73A8" w:rsidRDefault="00BD73A8" w:rsidP="001819C3">
      <w:pPr>
        <w:pStyle w:val="Heading1"/>
        <w:ind w:right="-1080"/>
        <w:rPr>
          <w:rFonts w:ascii="Times New Roman" w:hAnsi="Times New Roman"/>
          <w:bCs/>
        </w:rPr>
      </w:pPr>
    </w:p>
    <w:p w:rsidR="001819C3" w:rsidRPr="008D25C7" w:rsidRDefault="001819C3" w:rsidP="001819C3">
      <w:pPr>
        <w:pStyle w:val="Heading1"/>
        <w:ind w:right="-1080"/>
        <w:rPr>
          <w:rFonts w:ascii="Times New Roman" w:hAnsi="Times New Roman"/>
          <w:bCs/>
        </w:rPr>
      </w:pPr>
      <w:r w:rsidRPr="008D25C7">
        <w:rPr>
          <w:rFonts w:ascii="Times New Roman" w:hAnsi="Times New Roman"/>
          <w:bCs/>
        </w:rPr>
        <w:t>Funding</w:t>
      </w:r>
    </w:p>
    <w:p w:rsidR="002A015A" w:rsidRPr="00DC4C9F" w:rsidRDefault="002A015A" w:rsidP="002A015A">
      <w:pPr>
        <w:pStyle w:val="xl24"/>
        <w:spacing w:before="0" w:after="0"/>
      </w:pPr>
      <w:r w:rsidRPr="00DC4C9F">
        <w:t>Base Funding</w:t>
      </w:r>
    </w:p>
    <w:p w:rsidR="002A015A" w:rsidRPr="00DC4C9F" w:rsidRDefault="002A015A" w:rsidP="002A015A">
      <w:pPr>
        <w:pStyle w:val="xl24"/>
        <w:spacing w:before="0" w:after="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58"/>
        <w:gridCol w:w="590"/>
        <w:gridCol w:w="607"/>
        <w:gridCol w:w="672"/>
        <w:gridCol w:w="1535"/>
      </w:tblGrid>
      <w:tr w:rsidR="002A015A" w:rsidRPr="00DC4C9F" w:rsidTr="00ED7AF1">
        <w:tc>
          <w:tcPr>
            <w:tcW w:w="3168" w:type="dxa"/>
            <w:gridSpan w:val="4"/>
            <w:shd w:val="clear" w:color="auto" w:fill="E6E6E6"/>
          </w:tcPr>
          <w:p w:rsidR="002A015A" w:rsidRPr="00DC4C9F" w:rsidRDefault="002A015A" w:rsidP="00ED7AF1">
            <w:pPr>
              <w:pStyle w:val="Heading7"/>
              <w:rPr>
                <w:sz w:val="20"/>
              </w:rPr>
            </w:pPr>
            <w:r w:rsidRPr="00DC4C9F">
              <w:rPr>
                <w:sz w:val="20"/>
              </w:rPr>
              <w:t xml:space="preserve"> FY 2011 Enacted (w/resc./supps)</w:t>
            </w:r>
          </w:p>
        </w:tc>
        <w:tc>
          <w:tcPr>
            <w:tcW w:w="3240" w:type="dxa"/>
            <w:gridSpan w:val="4"/>
            <w:shd w:val="clear" w:color="auto" w:fill="E6E6E6"/>
          </w:tcPr>
          <w:p w:rsidR="002A015A" w:rsidRPr="00DC4C9F" w:rsidRDefault="002A015A" w:rsidP="00172A02">
            <w:pPr>
              <w:pStyle w:val="Heading7"/>
              <w:rPr>
                <w:sz w:val="20"/>
              </w:rPr>
            </w:pPr>
            <w:r w:rsidRPr="00DC4C9F">
              <w:rPr>
                <w:sz w:val="20"/>
              </w:rPr>
              <w:t xml:space="preserve">FY 2012 </w:t>
            </w:r>
            <w:r w:rsidR="00172A02">
              <w:rPr>
                <w:sz w:val="20"/>
              </w:rPr>
              <w:t xml:space="preserve">Enacted </w:t>
            </w:r>
            <w:r>
              <w:rPr>
                <w:sz w:val="20"/>
              </w:rPr>
              <w:t>Rate</w:t>
            </w:r>
          </w:p>
        </w:tc>
        <w:tc>
          <w:tcPr>
            <w:tcW w:w="3404" w:type="dxa"/>
            <w:gridSpan w:val="4"/>
            <w:shd w:val="clear" w:color="auto" w:fill="E6E6E6"/>
          </w:tcPr>
          <w:p w:rsidR="002A015A" w:rsidRPr="00DC4C9F" w:rsidRDefault="002A015A" w:rsidP="00ED7AF1">
            <w:pPr>
              <w:pStyle w:val="Heading7"/>
              <w:rPr>
                <w:sz w:val="20"/>
              </w:rPr>
            </w:pPr>
            <w:r w:rsidRPr="00DC4C9F">
              <w:rPr>
                <w:sz w:val="20"/>
              </w:rPr>
              <w:t>FY 2013 Current Services</w:t>
            </w:r>
          </w:p>
        </w:tc>
      </w:tr>
      <w:tr w:rsidR="002A015A" w:rsidRPr="00DC4C9F" w:rsidTr="00ED7AF1">
        <w:tc>
          <w:tcPr>
            <w:tcW w:w="594" w:type="dxa"/>
          </w:tcPr>
          <w:p w:rsidR="002A015A" w:rsidRPr="00DC4C9F" w:rsidRDefault="002A015A" w:rsidP="00ED7AF1">
            <w:pPr>
              <w:pStyle w:val="xl24"/>
              <w:spacing w:before="0" w:after="0"/>
              <w:jc w:val="center"/>
              <w:rPr>
                <w:sz w:val="20"/>
                <w:u w:val="none"/>
              </w:rPr>
            </w:pPr>
            <w:r w:rsidRPr="00DC4C9F">
              <w:rPr>
                <w:sz w:val="20"/>
                <w:u w:val="none"/>
              </w:rPr>
              <w:t>Pos</w:t>
            </w:r>
          </w:p>
        </w:tc>
        <w:tc>
          <w:tcPr>
            <w:tcW w:w="607" w:type="dxa"/>
          </w:tcPr>
          <w:p w:rsidR="002A015A" w:rsidRPr="00DC4C9F" w:rsidRDefault="002A015A" w:rsidP="00ED7AF1">
            <w:pPr>
              <w:pStyle w:val="xl24"/>
              <w:spacing w:before="0" w:after="0"/>
              <w:jc w:val="center"/>
              <w:rPr>
                <w:sz w:val="20"/>
                <w:u w:val="none"/>
              </w:rPr>
            </w:pPr>
            <w:r w:rsidRPr="00DC4C9F">
              <w:rPr>
                <w:sz w:val="20"/>
                <w:u w:val="none"/>
              </w:rPr>
              <w:t>agt/</w:t>
            </w:r>
          </w:p>
          <w:p w:rsidR="002A015A" w:rsidRPr="00DC4C9F" w:rsidRDefault="002A015A" w:rsidP="00ED7AF1">
            <w:pPr>
              <w:pStyle w:val="xl24"/>
              <w:spacing w:before="0" w:after="0"/>
              <w:jc w:val="center"/>
              <w:rPr>
                <w:sz w:val="20"/>
                <w:u w:val="none"/>
              </w:rPr>
            </w:pPr>
            <w:r w:rsidRPr="00DC4C9F">
              <w:rPr>
                <w:sz w:val="20"/>
                <w:u w:val="none"/>
              </w:rPr>
              <w:t>atty</w:t>
            </w:r>
          </w:p>
        </w:tc>
        <w:tc>
          <w:tcPr>
            <w:tcW w:w="572" w:type="dxa"/>
          </w:tcPr>
          <w:p w:rsidR="002A015A" w:rsidRPr="00DC4C9F" w:rsidRDefault="002A015A" w:rsidP="00ED7AF1">
            <w:pPr>
              <w:pStyle w:val="xl24"/>
              <w:spacing w:before="0" w:after="0"/>
              <w:jc w:val="center"/>
              <w:rPr>
                <w:sz w:val="20"/>
                <w:u w:val="none"/>
              </w:rPr>
            </w:pPr>
            <w:r w:rsidRPr="00DC4C9F">
              <w:rPr>
                <w:sz w:val="20"/>
                <w:u w:val="none"/>
              </w:rPr>
              <w:t>FTE</w:t>
            </w:r>
          </w:p>
        </w:tc>
        <w:tc>
          <w:tcPr>
            <w:tcW w:w="1395" w:type="dxa"/>
          </w:tcPr>
          <w:p w:rsidR="002A015A" w:rsidRPr="00DC4C9F" w:rsidRDefault="00285C2D" w:rsidP="00ED7AF1">
            <w:pPr>
              <w:pStyle w:val="xl24"/>
              <w:spacing w:before="0" w:after="0"/>
              <w:jc w:val="center"/>
              <w:rPr>
                <w:sz w:val="20"/>
                <w:u w:val="none"/>
              </w:rPr>
            </w:pPr>
            <w:r>
              <w:rPr>
                <w:sz w:val="20"/>
                <w:u w:val="none"/>
              </w:rPr>
              <w:t>($000)</w:t>
            </w:r>
          </w:p>
        </w:tc>
        <w:tc>
          <w:tcPr>
            <w:tcW w:w="603" w:type="dxa"/>
          </w:tcPr>
          <w:p w:rsidR="002A015A" w:rsidRPr="00DC4C9F" w:rsidRDefault="002A015A" w:rsidP="00ED7AF1">
            <w:pPr>
              <w:pStyle w:val="xl24"/>
              <w:spacing w:before="0" w:after="0"/>
              <w:jc w:val="center"/>
              <w:rPr>
                <w:sz w:val="20"/>
                <w:u w:val="none"/>
              </w:rPr>
            </w:pPr>
            <w:r w:rsidRPr="00DC4C9F">
              <w:rPr>
                <w:sz w:val="20"/>
                <w:u w:val="none"/>
              </w:rPr>
              <w:t>Pos</w:t>
            </w:r>
          </w:p>
        </w:tc>
        <w:tc>
          <w:tcPr>
            <w:tcW w:w="607" w:type="dxa"/>
          </w:tcPr>
          <w:p w:rsidR="002A015A" w:rsidRPr="00DC4C9F" w:rsidRDefault="002A015A" w:rsidP="00ED7AF1">
            <w:pPr>
              <w:pStyle w:val="xl24"/>
              <w:spacing w:before="0" w:after="0"/>
              <w:jc w:val="center"/>
              <w:rPr>
                <w:sz w:val="20"/>
                <w:u w:val="none"/>
              </w:rPr>
            </w:pPr>
            <w:r w:rsidRPr="00DC4C9F">
              <w:rPr>
                <w:sz w:val="20"/>
                <w:u w:val="none"/>
              </w:rPr>
              <w:t>agt/</w:t>
            </w:r>
          </w:p>
          <w:p w:rsidR="002A015A" w:rsidRPr="00DC4C9F" w:rsidRDefault="002A015A" w:rsidP="00ED7AF1">
            <w:pPr>
              <w:pStyle w:val="xl24"/>
              <w:spacing w:before="0" w:after="0"/>
              <w:jc w:val="center"/>
              <w:rPr>
                <w:sz w:val="20"/>
                <w:u w:val="none"/>
              </w:rPr>
            </w:pPr>
            <w:r w:rsidRPr="00DC4C9F">
              <w:rPr>
                <w:sz w:val="20"/>
                <w:u w:val="none"/>
              </w:rPr>
              <w:t>atty</w:t>
            </w:r>
          </w:p>
        </w:tc>
        <w:tc>
          <w:tcPr>
            <w:tcW w:w="672" w:type="dxa"/>
          </w:tcPr>
          <w:p w:rsidR="002A015A" w:rsidRPr="00DC4C9F" w:rsidRDefault="002A015A" w:rsidP="00ED7AF1">
            <w:pPr>
              <w:pStyle w:val="xl24"/>
              <w:spacing w:before="0" w:after="0"/>
              <w:jc w:val="center"/>
              <w:rPr>
                <w:sz w:val="20"/>
                <w:u w:val="none"/>
              </w:rPr>
            </w:pPr>
            <w:r w:rsidRPr="00DC4C9F">
              <w:rPr>
                <w:sz w:val="20"/>
                <w:u w:val="none"/>
              </w:rPr>
              <w:t>FTE</w:t>
            </w:r>
          </w:p>
        </w:tc>
        <w:tc>
          <w:tcPr>
            <w:tcW w:w="1358" w:type="dxa"/>
          </w:tcPr>
          <w:p w:rsidR="002A015A" w:rsidRPr="00DC4C9F" w:rsidRDefault="00285C2D" w:rsidP="00ED7AF1">
            <w:pPr>
              <w:pStyle w:val="xl24"/>
              <w:spacing w:before="0" w:after="0"/>
              <w:jc w:val="center"/>
              <w:rPr>
                <w:sz w:val="20"/>
                <w:u w:val="none"/>
              </w:rPr>
            </w:pPr>
            <w:r>
              <w:rPr>
                <w:sz w:val="20"/>
                <w:u w:val="none"/>
              </w:rPr>
              <w:t>($000)</w:t>
            </w:r>
          </w:p>
        </w:tc>
        <w:tc>
          <w:tcPr>
            <w:tcW w:w="590" w:type="dxa"/>
          </w:tcPr>
          <w:p w:rsidR="002A015A" w:rsidRPr="00DC4C9F" w:rsidRDefault="002A015A" w:rsidP="00ED7AF1">
            <w:pPr>
              <w:pStyle w:val="xl24"/>
              <w:spacing w:before="0" w:after="0"/>
              <w:jc w:val="center"/>
              <w:rPr>
                <w:sz w:val="20"/>
                <w:u w:val="none"/>
              </w:rPr>
            </w:pPr>
            <w:r w:rsidRPr="00DC4C9F">
              <w:rPr>
                <w:sz w:val="20"/>
                <w:u w:val="none"/>
              </w:rPr>
              <w:t>Pos</w:t>
            </w:r>
          </w:p>
        </w:tc>
        <w:tc>
          <w:tcPr>
            <w:tcW w:w="607" w:type="dxa"/>
          </w:tcPr>
          <w:p w:rsidR="002A015A" w:rsidRPr="00DC4C9F" w:rsidRDefault="002A015A" w:rsidP="00ED7AF1">
            <w:pPr>
              <w:pStyle w:val="xl24"/>
              <w:spacing w:before="0" w:after="0"/>
              <w:jc w:val="center"/>
              <w:rPr>
                <w:sz w:val="20"/>
                <w:u w:val="none"/>
              </w:rPr>
            </w:pPr>
            <w:r w:rsidRPr="00DC4C9F">
              <w:rPr>
                <w:sz w:val="20"/>
                <w:u w:val="none"/>
              </w:rPr>
              <w:t>agt/</w:t>
            </w:r>
          </w:p>
          <w:p w:rsidR="002A015A" w:rsidRPr="00DC4C9F" w:rsidRDefault="002A015A" w:rsidP="00ED7AF1">
            <w:pPr>
              <w:pStyle w:val="xl24"/>
              <w:spacing w:before="0" w:after="0"/>
              <w:jc w:val="center"/>
              <w:rPr>
                <w:sz w:val="20"/>
                <w:u w:val="none"/>
              </w:rPr>
            </w:pPr>
            <w:r w:rsidRPr="00DC4C9F">
              <w:rPr>
                <w:sz w:val="20"/>
                <w:u w:val="none"/>
              </w:rPr>
              <w:t>atty</w:t>
            </w:r>
          </w:p>
        </w:tc>
        <w:tc>
          <w:tcPr>
            <w:tcW w:w="672" w:type="dxa"/>
          </w:tcPr>
          <w:p w:rsidR="002A015A" w:rsidRPr="00DC4C9F" w:rsidRDefault="002A015A" w:rsidP="00ED7AF1">
            <w:pPr>
              <w:pStyle w:val="xl24"/>
              <w:spacing w:before="0" w:after="0"/>
              <w:jc w:val="center"/>
              <w:rPr>
                <w:sz w:val="20"/>
                <w:u w:val="none"/>
              </w:rPr>
            </w:pPr>
            <w:r w:rsidRPr="00DC4C9F">
              <w:rPr>
                <w:sz w:val="20"/>
                <w:u w:val="none"/>
              </w:rPr>
              <w:t>FTE</w:t>
            </w:r>
          </w:p>
        </w:tc>
        <w:tc>
          <w:tcPr>
            <w:tcW w:w="1535" w:type="dxa"/>
          </w:tcPr>
          <w:p w:rsidR="002A015A" w:rsidRPr="00DC4C9F" w:rsidRDefault="00285C2D" w:rsidP="00ED7AF1">
            <w:pPr>
              <w:pStyle w:val="xl24"/>
              <w:spacing w:before="0" w:after="0"/>
              <w:jc w:val="center"/>
              <w:rPr>
                <w:sz w:val="20"/>
                <w:u w:val="none"/>
              </w:rPr>
            </w:pPr>
            <w:r>
              <w:rPr>
                <w:sz w:val="20"/>
                <w:u w:val="none"/>
              </w:rPr>
              <w:t>($000)</w:t>
            </w:r>
          </w:p>
        </w:tc>
      </w:tr>
      <w:tr w:rsidR="002A015A" w:rsidRPr="00DC4C9F" w:rsidTr="00ED7AF1">
        <w:tc>
          <w:tcPr>
            <w:tcW w:w="594" w:type="dxa"/>
          </w:tcPr>
          <w:p w:rsidR="002A015A" w:rsidRPr="00DC4C9F" w:rsidRDefault="002A015A" w:rsidP="00ED7AF1">
            <w:pPr>
              <w:pStyle w:val="xl24"/>
              <w:spacing w:before="0" w:after="0"/>
              <w:jc w:val="right"/>
              <w:rPr>
                <w:sz w:val="20"/>
              </w:rPr>
            </w:pPr>
          </w:p>
        </w:tc>
        <w:tc>
          <w:tcPr>
            <w:tcW w:w="607" w:type="dxa"/>
          </w:tcPr>
          <w:p w:rsidR="002A015A" w:rsidRPr="00DC4C9F" w:rsidRDefault="002A015A" w:rsidP="00ED7AF1">
            <w:pPr>
              <w:pStyle w:val="xl24"/>
              <w:spacing w:before="0" w:after="0"/>
              <w:jc w:val="right"/>
              <w:rPr>
                <w:sz w:val="20"/>
              </w:rPr>
            </w:pPr>
          </w:p>
        </w:tc>
        <w:tc>
          <w:tcPr>
            <w:tcW w:w="572" w:type="dxa"/>
          </w:tcPr>
          <w:p w:rsidR="002A015A" w:rsidRPr="00DC4C9F" w:rsidRDefault="002A015A" w:rsidP="00ED7AF1">
            <w:pPr>
              <w:pStyle w:val="xl24"/>
              <w:spacing w:before="0" w:after="0"/>
              <w:jc w:val="right"/>
              <w:rPr>
                <w:sz w:val="20"/>
              </w:rPr>
            </w:pPr>
          </w:p>
        </w:tc>
        <w:tc>
          <w:tcPr>
            <w:tcW w:w="1395" w:type="dxa"/>
          </w:tcPr>
          <w:p w:rsidR="002A015A" w:rsidRPr="00DC4C9F" w:rsidRDefault="00285C2D" w:rsidP="004A2AA3">
            <w:pPr>
              <w:pStyle w:val="xl24"/>
              <w:spacing w:before="0" w:after="0"/>
              <w:jc w:val="right"/>
              <w:rPr>
                <w:sz w:val="20"/>
              </w:rPr>
            </w:pPr>
            <w:r>
              <w:rPr>
                <w:sz w:val="20"/>
                <w:u w:val="none"/>
              </w:rPr>
              <w:t>$</w:t>
            </w:r>
            <w:r w:rsidR="004A2AA3">
              <w:rPr>
                <w:sz w:val="20"/>
                <w:u w:val="none"/>
              </w:rPr>
              <w:t>209,580</w:t>
            </w:r>
          </w:p>
        </w:tc>
        <w:tc>
          <w:tcPr>
            <w:tcW w:w="603" w:type="dxa"/>
          </w:tcPr>
          <w:p w:rsidR="002A015A" w:rsidRPr="00DC4C9F" w:rsidRDefault="002A015A" w:rsidP="00ED7AF1">
            <w:pPr>
              <w:pStyle w:val="xl24"/>
              <w:spacing w:before="0" w:after="0"/>
              <w:jc w:val="right"/>
              <w:rPr>
                <w:sz w:val="20"/>
              </w:rPr>
            </w:pPr>
          </w:p>
        </w:tc>
        <w:tc>
          <w:tcPr>
            <w:tcW w:w="607" w:type="dxa"/>
          </w:tcPr>
          <w:p w:rsidR="002A015A" w:rsidRPr="00DC4C9F" w:rsidRDefault="002A015A" w:rsidP="00ED7AF1">
            <w:pPr>
              <w:pStyle w:val="xl24"/>
              <w:spacing w:before="0" w:after="0"/>
              <w:jc w:val="right"/>
              <w:rPr>
                <w:sz w:val="20"/>
              </w:rPr>
            </w:pPr>
          </w:p>
        </w:tc>
        <w:tc>
          <w:tcPr>
            <w:tcW w:w="672" w:type="dxa"/>
          </w:tcPr>
          <w:p w:rsidR="002A015A" w:rsidRPr="00DC4C9F" w:rsidRDefault="002A015A" w:rsidP="00ED7AF1">
            <w:pPr>
              <w:pStyle w:val="xl24"/>
              <w:spacing w:before="0" w:after="0"/>
              <w:jc w:val="right"/>
              <w:rPr>
                <w:sz w:val="20"/>
              </w:rPr>
            </w:pPr>
          </w:p>
        </w:tc>
        <w:tc>
          <w:tcPr>
            <w:tcW w:w="1358" w:type="dxa"/>
          </w:tcPr>
          <w:p w:rsidR="002A015A" w:rsidRPr="00DC4C9F" w:rsidRDefault="00285C2D" w:rsidP="004A2AA3">
            <w:pPr>
              <w:pStyle w:val="xl24"/>
              <w:spacing w:before="0" w:after="0"/>
              <w:jc w:val="right"/>
              <w:rPr>
                <w:sz w:val="20"/>
              </w:rPr>
            </w:pPr>
            <w:r>
              <w:rPr>
                <w:sz w:val="20"/>
                <w:u w:val="none"/>
              </w:rPr>
              <w:t>$</w:t>
            </w:r>
            <w:r w:rsidR="004A2AA3">
              <w:rPr>
                <w:sz w:val="20"/>
                <w:u w:val="none"/>
              </w:rPr>
              <w:t>189,000</w:t>
            </w:r>
          </w:p>
        </w:tc>
        <w:tc>
          <w:tcPr>
            <w:tcW w:w="590" w:type="dxa"/>
          </w:tcPr>
          <w:p w:rsidR="002A015A" w:rsidRPr="00DC4C9F" w:rsidRDefault="002A015A" w:rsidP="00ED7AF1">
            <w:pPr>
              <w:pStyle w:val="xl24"/>
              <w:spacing w:before="0" w:after="0"/>
              <w:jc w:val="right"/>
              <w:rPr>
                <w:sz w:val="20"/>
              </w:rPr>
            </w:pPr>
          </w:p>
        </w:tc>
        <w:tc>
          <w:tcPr>
            <w:tcW w:w="607" w:type="dxa"/>
          </w:tcPr>
          <w:p w:rsidR="002A015A" w:rsidRPr="00DC4C9F" w:rsidRDefault="002A015A" w:rsidP="00ED7AF1">
            <w:pPr>
              <w:pStyle w:val="xl24"/>
              <w:spacing w:before="0" w:after="0"/>
              <w:jc w:val="right"/>
              <w:rPr>
                <w:sz w:val="20"/>
              </w:rPr>
            </w:pPr>
          </w:p>
        </w:tc>
        <w:tc>
          <w:tcPr>
            <w:tcW w:w="672" w:type="dxa"/>
          </w:tcPr>
          <w:p w:rsidR="002A015A" w:rsidRPr="00DC4C9F" w:rsidRDefault="002A015A" w:rsidP="00ED7AF1">
            <w:pPr>
              <w:pStyle w:val="xl24"/>
              <w:spacing w:before="0" w:after="0"/>
              <w:jc w:val="right"/>
              <w:rPr>
                <w:sz w:val="20"/>
              </w:rPr>
            </w:pPr>
          </w:p>
        </w:tc>
        <w:tc>
          <w:tcPr>
            <w:tcW w:w="1535" w:type="dxa"/>
          </w:tcPr>
          <w:p w:rsidR="002A015A" w:rsidRPr="00DC4C9F" w:rsidRDefault="00285C2D" w:rsidP="00AB310E">
            <w:pPr>
              <w:pStyle w:val="xl24"/>
              <w:spacing w:before="0" w:after="0"/>
              <w:jc w:val="right"/>
              <w:rPr>
                <w:sz w:val="20"/>
              </w:rPr>
            </w:pPr>
            <w:r>
              <w:rPr>
                <w:sz w:val="20"/>
                <w:u w:val="none"/>
              </w:rPr>
              <w:t>$</w:t>
            </w:r>
            <w:r w:rsidR="00AB310E">
              <w:rPr>
                <w:sz w:val="20"/>
                <w:u w:val="none"/>
              </w:rPr>
              <w:t>189,000</w:t>
            </w:r>
          </w:p>
        </w:tc>
      </w:tr>
    </w:tbl>
    <w:p w:rsidR="002A015A" w:rsidRPr="00DC4C9F" w:rsidRDefault="002A015A" w:rsidP="002A015A">
      <w:pPr>
        <w:pStyle w:val="xl24"/>
        <w:spacing w:before="0" w:after="0"/>
      </w:pPr>
    </w:p>
    <w:p w:rsidR="002A015A" w:rsidRPr="00DC4C9F" w:rsidRDefault="002A015A" w:rsidP="002A015A">
      <w:pPr>
        <w:pStyle w:val="BodyText"/>
      </w:pPr>
      <w:r w:rsidRPr="00DC4C9F">
        <w:rPr>
          <w:u w:val="single"/>
        </w:rPr>
        <w:t>Personnel Reduction Cost Summary</w:t>
      </w:r>
    </w:p>
    <w:p w:rsidR="002A015A" w:rsidRDefault="002A015A" w:rsidP="002A015A">
      <w:pPr>
        <w:rPr>
          <w:sz w:val="20"/>
        </w:rPr>
      </w:pPr>
    </w:p>
    <w:p w:rsidR="002A015A" w:rsidRDefault="002A015A" w:rsidP="002A015A">
      <w:pPr>
        <w:rPr>
          <w:sz w:val="20"/>
        </w:rPr>
      </w:pPr>
      <w:r>
        <w:rPr>
          <w:sz w:val="20"/>
        </w:rPr>
        <w:t>Not Applicable</w:t>
      </w:r>
    </w:p>
    <w:p w:rsidR="002A015A" w:rsidRPr="00DC4C9F" w:rsidRDefault="002A015A" w:rsidP="002A015A">
      <w:pPr>
        <w:rPr>
          <w:sz w:val="20"/>
        </w:rPr>
      </w:pPr>
    </w:p>
    <w:p w:rsidR="002A015A" w:rsidRPr="00DC4C9F" w:rsidRDefault="002A015A" w:rsidP="002A015A">
      <w:pPr>
        <w:pStyle w:val="xl24"/>
        <w:spacing w:before="0" w:after="0"/>
      </w:pPr>
      <w:r w:rsidRPr="00DC4C9F">
        <w:t>Non-Personnel Reduction Cost Summary</w:t>
      </w:r>
    </w:p>
    <w:p w:rsidR="002A015A" w:rsidRDefault="002A015A" w:rsidP="002A015A">
      <w:pPr>
        <w:rPr>
          <w:sz w:val="20"/>
        </w:rPr>
      </w:pPr>
    </w:p>
    <w:p w:rsidR="002A015A" w:rsidRDefault="002A015A" w:rsidP="002A015A">
      <w:pPr>
        <w:rPr>
          <w:sz w:val="20"/>
        </w:rPr>
      </w:pPr>
      <w:r>
        <w:rPr>
          <w:sz w:val="20"/>
        </w:rPr>
        <w:t>Not Applicable</w:t>
      </w:r>
    </w:p>
    <w:p w:rsidR="002A015A" w:rsidRPr="00DC4C9F" w:rsidRDefault="002A015A" w:rsidP="002A015A">
      <w:pPr>
        <w:rPr>
          <w:sz w:val="20"/>
        </w:rPr>
      </w:pPr>
    </w:p>
    <w:p w:rsidR="002A015A" w:rsidRPr="00DC4C9F" w:rsidRDefault="002A015A" w:rsidP="002A015A">
      <w:pPr>
        <w:pStyle w:val="xl24"/>
        <w:spacing w:before="0" w:after="0"/>
        <w:rPr>
          <w:szCs w:val="24"/>
        </w:rPr>
      </w:pPr>
      <w:r w:rsidRPr="00DC4C9F">
        <w:rPr>
          <w:szCs w:val="24"/>
        </w:rPr>
        <w:t>Total Request for this Item</w:t>
      </w:r>
    </w:p>
    <w:p w:rsidR="002A015A" w:rsidRPr="00DC4C9F" w:rsidRDefault="002A015A" w:rsidP="002A015A">
      <w:pPr>
        <w:pStyle w:val="xl24"/>
        <w:spacing w:before="0" w:after="0"/>
        <w:rPr>
          <w:szCs w:val="24"/>
        </w:rPr>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754"/>
        <w:gridCol w:w="940"/>
        <w:gridCol w:w="758"/>
        <w:gridCol w:w="1253"/>
        <w:gridCol w:w="1390"/>
        <w:gridCol w:w="1310"/>
      </w:tblGrid>
      <w:tr w:rsidR="004B1D02" w:rsidRPr="00DC4C9F" w:rsidTr="004B1D02">
        <w:trPr>
          <w:trHeight w:val="658"/>
        </w:trPr>
        <w:tc>
          <w:tcPr>
            <w:tcW w:w="1443" w:type="dxa"/>
            <w:shd w:val="clear" w:color="auto" w:fill="E6E6E6"/>
          </w:tcPr>
          <w:p w:rsidR="004B1D02" w:rsidRPr="00DC4C9F" w:rsidRDefault="004B1D02" w:rsidP="00ED7AF1">
            <w:pPr>
              <w:rPr>
                <w:sz w:val="20"/>
              </w:rPr>
            </w:pPr>
          </w:p>
        </w:tc>
        <w:tc>
          <w:tcPr>
            <w:tcW w:w="754" w:type="dxa"/>
            <w:vAlign w:val="center"/>
          </w:tcPr>
          <w:p w:rsidR="004B1D02" w:rsidRPr="00DC4C9F" w:rsidRDefault="004B1D02" w:rsidP="00ED7AF1">
            <w:pPr>
              <w:jc w:val="center"/>
              <w:rPr>
                <w:sz w:val="20"/>
              </w:rPr>
            </w:pPr>
            <w:r w:rsidRPr="00DC4C9F">
              <w:rPr>
                <w:sz w:val="20"/>
              </w:rPr>
              <w:t>Pos</w:t>
            </w:r>
          </w:p>
        </w:tc>
        <w:tc>
          <w:tcPr>
            <w:tcW w:w="940" w:type="dxa"/>
            <w:vAlign w:val="center"/>
          </w:tcPr>
          <w:p w:rsidR="004B1D02" w:rsidRPr="00DC4C9F" w:rsidRDefault="004B1D02" w:rsidP="00ED7AF1">
            <w:pPr>
              <w:jc w:val="center"/>
              <w:rPr>
                <w:sz w:val="20"/>
              </w:rPr>
            </w:pPr>
          </w:p>
          <w:p w:rsidR="004B1D02" w:rsidRPr="00DC4C9F" w:rsidRDefault="004B1D02" w:rsidP="00ED7AF1">
            <w:pPr>
              <w:jc w:val="center"/>
              <w:rPr>
                <w:sz w:val="20"/>
              </w:rPr>
            </w:pPr>
            <w:r w:rsidRPr="00DC4C9F">
              <w:rPr>
                <w:sz w:val="20"/>
              </w:rPr>
              <w:t>Agt/Atty</w:t>
            </w:r>
          </w:p>
          <w:p w:rsidR="004B1D02" w:rsidRPr="00DC4C9F" w:rsidRDefault="004B1D02" w:rsidP="00ED7AF1">
            <w:pPr>
              <w:jc w:val="center"/>
              <w:rPr>
                <w:sz w:val="20"/>
              </w:rPr>
            </w:pPr>
          </w:p>
        </w:tc>
        <w:tc>
          <w:tcPr>
            <w:tcW w:w="758" w:type="dxa"/>
            <w:vAlign w:val="center"/>
          </w:tcPr>
          <w:p w:rsidR="004B1D02" w:rsidRPr="00DC4C9F" w:rsidRDefault="004B1D02" w:rsidP="00ED7AF1">
            <w:pPr>
              <w:jc w:val="center"/>
              <w:rPr>
                <w:sz w:val="20"/>
              </w:rPr>
            </w:pPr>
            <w:r w:rsidRPr="00DC4C9F">
              <w:rPr>
                <w:sz w:val="20"/>
              </w:rPr>
              <w:t>FTE</w:t>
            </w:r>
          </w:p>
        </w:tc>
        <w:tc>
          <w:tcPr>
            <w:tcW w:w="1253" w:type="dxa"/>
            <w:vAlign w:val="center"/>
          </w:tcPr>
          <w:p w:rsidR="004B1D02" w:rsidRPr="00DC4C9F" w:rsidRDefault="004B1D02" w:rsidP="00ED7AF1">
            <w:pPr>
              <w:jc w:val="center"/>
              <w:rPr>
                <w:sz w:val="20"/>
              </w:rPr>
            </w:pPr>
            <w:r w:rsidRPr="00DC4C9F">
              <w:rPr>
                <w:sz w:val="20"/>
              </w:rPr>
              <w:t>Personnel</w:t>
            </w:r>
          </w:p>
          <w:p w:rsidR="004B1D02" w:rsidRPr="00DC4C9F" w:rsidRDefault="004B1D02" w:rsidP="00ED7AF1">
            <w:pPr>
              <w:jc w:val="center"/>
              <w:rPr>
                <w:sz w:val="20"/>
              </w:rPr>
            </w:pPr>
            <w:r w:rsidRPr="00DC4C9F">
              <w:rPr>
                <w:sz w:val="20"/>
              </w:rPr>
              <w:t>($000)</w:t>
            </w:r>
          </w:p>
        </w:tc>
        <w:tc>
          <w:tcPr>
            <w:tcW w:w="1390" w:type="dxa"/>
            <w:vAlign w:val="center"/>
          </w:tcPr>
          <w:p w:rsidR="004B1D02" w:rsidRPr="00DC4C9F" w:rsidRDefault="004B1D02" w:rsidP="00ED7AF1">
            <w:pPr>
              <w:jc w:val="center"/>
              <w:rPr>
                <w:sz w:val="20"/>
              </w:rPr>
            </w:pPr>
            <w:r w:rsidRPr="00DC4C9F">
              <w:rPr>
                <w:sz w:val="20"/>
              </w:rPr>
              <w:t>Non-Personnel</w:t>
            </w:r>
          </w:p>
          <w:p w:rsidR="004B1D02" w:rsidRPr="00DC4C9F" w:rsidRDefault="004B1D02" w:rsidP="00ED7AF1">
            <w:pPr>
              <w:jc w:val="center"/>
              <w:rPr>
                <w:sz w:val="20"/>
              </w:rPr>
            </w:pPr>
            <w:r w:rsidRPr="00DC4C9F">
              <w:rPr>
                <w:sz w:val="20"/>
              </w:rPr>
              <w:t>($000)</w:t>
            </w:r>
          </w:p>
        </w:tc>
        <w:tc>
          <w:tcPr>
            <w:tcW w:w="1310" w:type="dxa"/>
            <w:vAlign w:val="center"/>
          </w:tcPr>
          <w:p w:rsidR="004B1D02" w:rsidRPr="00DC4C9F" w:rsidRDefault="004B1D02" w:rsidP="00ED7AF1">
            <w:pPr>
              <w:jc w:val="center"/>
              <w:rPr>
                <w:sz w:val="20"/>
              </w:rPr>
            </w:pPr>
            <w:r w:rsidRPr="00DC4C9F">
              <w:rPr>
                <w:sz w:val="20"/>
              </w:rPr>
              <w:t>Total</w:t>
            </w:r>
          </w:p>
          <w:p w:rsidR="004B1D02" w:rsidRPr="00DC4C9F" w:rsidRDefault="004B1D02" w:rsidP="00ED7AF1">
            <w:pPr>
              <w:jc w:val="center"/>
              <w:rPr>
                <w:sz w:val="20"/>
              </w:rPr>
            </w:pPr>
            <w:r w:rsidRPr="00DC4C9F">
              <w:rPr>
                <w:sz w:val="20"/>
              </w:rPr>
              <w:t>($000)</w:t>
            </w:r>
          </w:p>
        </w:tc>
      </w:tr>
      <w:tr w:rsidR="004B1D02" w:rsidRPr="00DC4C9F" w:rsidTr="004B1D02">
        <w:trPr>
          <w:trHeight w:val="215"/>
        </w:trPr>
        <w:tc>
          <w:tcPr>
            <w:tcW w:w="1443" w:type="dxa"/>
          </w:tcPr>
          <w:p w:rsidR="004B1D02" w:rsidRPr="00DC4C9F" w:rsidRDefault="004B1D02" w:rsidP="00ED7AF1">
            <w:pPr>
              <w:rPr>
                <w:sz w:val="20"/>
              </w:rPr>
            </w:pPr>
            <w:r w:rsidRPr="00DC4C9F">
              <w:rPr>
                <w:sz w:val="20"/>
              </w:rPr>
              <w:t>Current Services</w:t>
            </w:r>
          </w:p>
        </w:tc>
        <w:tc>
          <w:tcPr>
            <w:tcW w:w="754" w:type="dxa"/>
            <w:vAlign w:val="center"/>
          </w:tcPr>
          <w:p w:rsidR="004B1D02" w:rsidRPr="00DC4C9F" w:rsidRDefault="004B1D02" w:rsidP="00ED7AF1">
            <w:pPr>
              <w:jc w:val="right"/>
              <w:rPr>
                <w:sz w:val="20"/>
              </w:rPr>
            </w:pPr>
          </w:p>
        </w:tc>
        <w:tc>
          <w:tcPr>
            <w:tcW w:w="940" w:type="dxa"/>
          </w:tcPr>
          <w:p w:rsidR="004B1D02" w:rsidRPr="00DC4C9F" w:rsidRDefault="004B1D02" w:rsidP="00ED7AF1">
            <w:pPr>
              <w:jc w:val="right"/>
              <w:rPr>
                <w:sz w:val="20"/>
              </w:rPr>
            </w:pPr>
          </w:p>
        </w:tc>
        <w:tc>
          <w:tcPr>
            <w:tcW w:w="758" w:type="dxa"/>
            <w:vAlign w:val="center"/>
          </w:tcPr>
          <w:p w:rsidR="004B1D02" w:rsidRPr="00DC4C9F" w:rsidRDefault="004B1D02" w:rsidP="00ED7AF1">
            <w:pPr>
              <w:jc w:val="right"/>
              <w:rPr>
                <w:sz w:val="20"/>
              </w:rPr>
            </w:pPr>
          </w:p>
        </w:tc>
        <w:tc>
          <w:tcPr>
            <w:tcW w:w="1253" w:type="dxa"/>
            <w:vAlign w:val="center"/>
          </w:tcPr>
          <w:p w:rsidR="004B1D02" w:rsidRPr="00DC4C9F" w:rsidRDefault="004B1D02" w:rsidP="00ED7AF1">
            <w:pPr>
              <w:jc w:val="right"/>
              <w:rPr>
                <w:sz w:val="20"/>
              </w:rPr>
            </w:pPr>
          </w:p>
        </w:tc>
        <w:tc>
          <w:tcPr>
            <w:tcW w:w="1390" w:type="dxa"/>
            <w:vAlign w:val="center"/>
          </w:tcPr>
          <w:p w:rsidR="004B1D02" w:rsidRPr="00DC4C9F" w:rsidRDefault="004B1D02" w:rsidP="004A2AA3">
            <w:pPr>
              <w:jc w:val="center"/>
              <w:rPr>
                <w:sz w:val="20"/>
              </w:rPr>
            </w:pPr>
            <w:r>
              <w:rPr>
                <w:sz w:val="20"/>
              </w:rPr>
              <w:t>$</w:t>
            </w:r>
            <w:r w:rsidR="004A2AA3">
              <w:rPr>
                <w:sz w:val="20"/>
              </w:rPr>
              <w:t>189,000</w:t>
            </w:r>
          </w:p>
        </w:tc>
        <w:tc>
          <w:tcPr>
            <w:tcW w:w="1310" w:type="dxa"/>
            <w:vAlign w:val="center"/>
          </w:tcPr>
          <w:p w:rsidR="004B1D02" w:rsidRPr="00DC4C9F" w:rsidRDefault="004A2AA3" w:rsidP="007E7E2C">
            <w:pPr>
              <w:jc w:val="center"/>
              <w:rPr>
                <w:sz w:val="20"/>
              </w:rPr>
            </w:pPr>
            <w:r>
              <w:rPr>
                <w:sz w:val="20"/>
              </w:rPr>
              <w:t>$189,000</w:t>
            </w:r>
          </w:p>
        </w:tc>
      </w:tr>
      <w:tr w:rsidR="004B1D02" w:rsidRPr="00DC4C9F" w:rsidTr="004B1D02">
        <w:trPr>
          <w:trHeight w:val="215"/>
        </w:trPr>
        <w:tc>
          <w:tcPr>
            <w:tcW w:w="1443" w:type="dxa"/>
          </w:tcPr>
          <w:p w:rsidR="006A008F" w:rsidRPr="00DC4C9F" w:rsidRDefault="004B1D02" w:rsidP="00ED7AF1">
            <w:pPr>
              <w:rPr>
                <w:sz w:val="20"/>
              </w:rPr>
            </w:pPr>
            <w:r>
              <w:rPr>
                <w:sz w:val="20"/>
              </w:rPr>
              <w:t>Decreases</w:t>
            </w:r>
            <w:r w:rsidR="006A008F">
              <w:rPr>
                <w:sz w:val="20"/>
              </w:rPr>
              <w:t>*</w:t>
            </w:r>
          </w:p>
        </w:tc>
        <w:tc>
          <w:tcPr>
            <w:tcW w:w="754" w:type="dxa"/>
            <w:vAlign w:val="center"/>
          </w:tcPr>
          <w:p w:rsidR="004B1D02" w:rsidRPr="00DC4C9F" w:rsidRDefault="004B1D02" w:rsidP="00ED7AF1">
            <w:pPr>
              <w:jc w:val="right"/>
              <w:rPr>
                <w:sz w:val="20"/>
              </w:rPr>
            </w:pPr>
          </w:p>
        </w:tc>
        <w:tc>
          <w:tcPr>
            <w:tcW w:w="940" w:type="dxa"/>
          </w:tcPr>
          <w:p w:rsidR="004B1D02" w:rsidRPr="00DC4C9F" w:rsidRDefault="004B1D02" w:rsidP="00ED7AF1">
            <w:pPr>
              <w:jc w:val="right"/>
              <w:rPr>
                <w:sz w:val="20"/>
              </w:rPr>
            </w:pPr>
          </w:p>
        </w:tc>
        <w:tc>
          <w:tcPr>
            <w:tcW w:w="758" w:type="dxa"/>
            <w:vAlign w:val="center"/>
          </w:tcPr>
          <w:p w:rsidR="004B1D02" w:rsidRPr="00DC4C9F" w:rsidRDefault="004B1D02" w:rsidP="00ED7AF1">
            <w:pPr>
              <w:jc w:val="right"/>
              <w:rPr>
                <w:sz w:val="20"/>
              </w:rPr>
            </w:pPr>
          </w:p>
        </w:tc>
        <w:tc>
          <w:tcPr>
            <w:tcW w:w="1253" w:type="dxa"/>
            <w:vAlign w:val="center"/>
          </w:tcPr>
          <w:p w:rsidR="004B1D02" w:rsidRPr="00DC4C9F" w:rsidRDefault="004B1D02" w:rsidP="00ED7AF1">
            <w:pPr>
              <w:jc w:val="right"/>
              <w:rPr>
                <w:sz w:val="20"/>
              </w:rPr>
            </w:pPr>
          </w:p>
        </w:tc>
        <w:tc>
          <w:tcPr>
            <w:tcW w:w="1390" w:type="dxa"/>
            <w:vAlign w:val="center"/>
          </w:tcPr>
          <w:p w:rsidR="004B1D02" w:rsidRPr="00DC4C9F" w:rsidRDefault="004A2AA3" w:rsidP="0087704C">
            <w:pPr>
              <w:jc w:val="center"/>
              <w:rPr>
                <w:sz w:val="20"/>
              </w:rPr>
            </w:pPr>
            <w:r>
              <w:rPr>
                <w:sz w:val="20"/>
              </w:rPr>
              <w:t>(144,500)</w:t>
            </w:r>
          </w:p>
        </w:tc>
        <w:tc>
          <w:tcPr>
            <w:tcW w:w="1310" w:type="dxa"/>
            <w:vAlign w:val="center"/>
          </w:tcPr>
          <w:p w:rsidR="004B1D02" w:rsidRPr="00DC4C9F" w:rsidRDefault="004A2AA3" w:rsidP="0087704C">
            <w:pPr>
              <w:jc w:val="center"/>
              <w:rPr>
                <w:sz w:val="20"/>
              </w:rPr>
            </w:pPr>
            <w:r>
              <w:rPr>
                <w:sz w:val="20"/>
              </w:rPr>
              <w:t>(144,500)</w:t>
            </w:r>
          </w:p>
        </w:tc>
      </w:tr>
      <w:tr w:rsidR="004B1D02" w:rsidRPr="00DC4C9F" w:rsidTr="004B1D02">
        <w:trPr>
          <w:trHeight w:val="215"/>
        </w:trPr>
        <w:tc>
          <w:tcPr>
            <w:tcW w:w="1443" w:type="dxa"/>
          </w:tcPr>
          <w:p w:rsidR="004B1D02" w:rsidRPr="00DC4C9F" w:rsidRDefault="004B1D02" w:rsidP="00ED7AF1">
            <w:pPr>
              <w:rPr>
                <w:sz w:val="20"/>
              </w:rPr>
            </w:pPr>
            <w:r w:rsidRPr="00DC4C9F">
              <w:rPr>
                <w:sz w:val="20"/>
              </w:rPr>
              <w:t>Grand Total</w:t>
            </w:r>
          </w:p>
        </w:tc>
        <w:tc>
          <w:tcPr>
            <w:tcW w:w="754" w:type="dxa"/>
            <w:vAlign w:val="center"/>
          </w:tcPr>
          <w:p w:rsidR="004B1D02" w:rsidRPr="00DC4C9F" w:rsidRDefault="004B1D02" w:rsidP="00ED7AF1">
            <w:pPr>
              <w:jc w:val="right"/>
              <w:rPr>
                <w:sz w:val="20"/>
              </w:rPr>
            </w:pPr>
          </w:p>
        </w:tc>
        <w:tc>
          <w:tcPr>
            <w:tcW w:w="940" w:type="dxa"/>
          </w:tcPr>
          <w:p w:rsidR="004B1D02" w:rsidRPr="00DC4C9F" w:rsidRDefault="004B1D02" w:rsidP="00ED7AF1">
            <w:pPr>
              <w:jc w:val="right"/>
              <w:rPr>
                <w:sz w:val="20"/>
              </w:rPr>
            </w:pPr>
          </w:p>
        </w:tc>
        <w:tc>
          <w:tcPr>
            <w:tcW w:w="758" w:type="dxa"/>
            <w:vAlign w:val="center"/>
          </w:tcPr>
          <w:p w:rsidR="004B1D02" w:rsidRPr="00DC4C9F" w:rsidRDefault="004B1D02" w:rsidP="00ED7AF1">
            <w:pPr>
              <w:jc w:val="right"/>
              <w:rPr>
                <w:sz w:val="20"/>
              </w:rPr>
            </w:pPr>
          </w:p>
        </w:tc>
        <w:tc>
          <w:tcPr>
            <w:tcW w:w="1253" w:type="dxa"/>
            <w:vAlign w:val="center"/>
          </w:tcPr>
          <w:p w:rsidR="004B1D02" w:rsidRPr="00DC4C9F" w:rsidRDefault="004B1D02" w:rsidP="00ED7AF1">
            <w:pPr>
              <w:jc w:val="right"/>
              <w:rPr>
                <w:sz w:val="20"/>
              </w:rPr>
            </w:pPr>
          </w:p>
        </w:tc>
        <w:tc>
          <w:tcPr>
            <w:tcW w:w="1390" w:type="dxa"/>
            <w:vAlign w:val="center"/>
          </w:tcPr>
          <w:p w:rsidR="004B1D02" w:rsidRPr="00DC4C9F" w:rsidRDefault="004B1D02" w:rsidP="004A2AA3">
            <w:pPr>
              <w:jc w:val="center"/>
              <w:rPr>
                <w:sz w:val="20"/>
              </w:rPr>
            </w:pPr>
            <w:r>
              <w:rPr>
                <w:sz w:val="20"/>
              </w:rPr>
              <w:t>$</w:t>
            </w:r>
            <w:r w:rsidR="004A2AA3">
              <w:rPr>
                <w:sz w:val="20"/>
              </w:rPr>
              <w:t>44,500</w:t>
            </w:r>
          </w:p>
        </w:tc>
        <w:tc>
          <w:tcPr>
            <w:tcW w:w="1310" w:type="dxa"/>
            <w:vAlign w:val="center"/>
          </w:tcPr>
          <w:p w:rsidR="007E7E2C" w:rsidRPr="00DC4C9F" w:rsidRDefault="004B1D02" w:rsidP="004A2AA3">
            <w:pPr>
              <w:jc w:val="center"/>
              <w:rPr>
                <w:sz w:val="20"/>
              </w:rPr>
            </w:pPr>
            <w:r>
              <w:rPr>
                <w:sz w:val="20"/>
              </w:rPr>
              <w:t>$</w:t>
            </w:r>
            <w:r w:rsidR="004A2AA3">
              <w:rPr>
                <w:sz w:val="20"/>
              </w:rPr>
              <w:t>44,500</w:t>
            </w:r>
          </w:p>
        </w:tc>
      </w:tr>
    </w:tbl>
    <w:p w:rsidR="006A008F" w:rsidRPr="006A008F" w:rsidRDefault="006A008F" w:rsidP="006A008F">
      <w:pPr>
        <w:pStyle w:val="BodyText"/>
        <w:ind w:right="-540"/>
        <w:rPr>
          <w:rFonts w:cs="Arial"/>
          <w:sz w:val="20"/>
        </w:rPr>
      </w:pPr>
      <w:bookmarkStart w:id="33" w:name="_GoBack"/>
      <w:r w:rsidRPr="006A008F">
        <w:rPr>
          <w:rFonts w:cs="Arial"/>
          <w:sz w:val="20"/>
        </w:rPr>
        <w:t>*The “decrease” will be replaced by $144.5 million funded by transfer from the Office of Justice Programs’ Crime Victims Fund.</w:t>
      </w:r>
    </w:p>
    <w:bookmarkEnd w:id="33"/>
    <w:p w:rsidR="00BF2526" w:rsidRDefault="00BF2526" w:rsidP="00BF2526">
      <w:pPr>
        <w:pStyle w:val="BodyText"/>
        <w:ind w:right="-540"/>
        <w:rPr>
          <w:rFonts w:cs="Arial"/>
          <w:b/>
          <w:sz w:val="28"/>
          <w:szCs w:val="28"/>
          <w:highlight w:val="yellow"/>
        </w:rPr>
      </w:pPr>
    </w:p>
    <w:p w:rsidR="006A008F" w:rsidRPr="009C0A84" w:rsidRDefault="006A008F" w:rsidP="00BF2526">
      <w:pPr>
        <w:pStyle w:val="BodyText"/>
        <w:ind w:right="-540"/>
        <w:rPr>
          <w:rFonts w:cs="Arial"/>
          <w:b/>
          <w:sz w:val="28"/>
          <w:szCs w:val="28"/>
          <w:highlight w:val="yellow"/>
        </w:rPr>
      </w:pPr>
    </w:p>
    <w:p w:rsidR="00172A02" w:rsidRPr="0018464D" w:rsidRDefault="00985A21" w:rsidP="00172A02">
      <w:pPr>
        <w:ind w:left="3420" w:right="-1080" w:hanging="3420"/>
        <w:rPr>
          <w:b/>
        </w:rPr>
      </w:pPr>
      <w:r>
        <w:rPr>
          <w:b/>
          <w:bCs/>
        </w:rPr>
        <w:t>B</w:t>
      </w:r>
      <w:r w:rsidRPr="00950EF3">
        <w:rPr>
          <w:b/>
          <w:bCs/>
        </w:rPr>
        <w:t>.  Item Name:</w:t>
      </w:r>
      <w:r w:rsidRPr="00950EF3">
        <w:rPr>
          <w:b/>
          <w:bCs/>
        </w:rPr>
        <w:tab/>
      </w:r>
      <w:r w:rsidR="00172A02" w:rsidRPr="0018464D">
        <w:rPr>
          <w:b/>
        </w:rPr>
        <w:t>Transitional Housing Assistance Grants for Victims of Domestic Violence, Dating Violence, Stalking, or Sexual Assault Program</w:t>
      </w:r>
    </w:p>
    <w:p w:rsidR="00172A02" w:rsidRPr="0018464D" w:rsidRDefault="00172A02" w:rsidP="00172A02">
      <w:pPr>
        <w:pStyle w:val="xl19"/>
        <w:tabs>
          <w:tab w:val="left" w:pos="3420"/>
          <w:tab w:val="right" w:pos="8640"/>
        </w:tabs>
        <w:spacing w:before="0" w:after="0"/>
        <w:ind w:right="-1080"/>
      </w:pPr>
    </w:p>
    <w:p w:rsidR="00172A02" w:rsidRPr="0018464D" w:rsidRDefault="00172A02" w:rsidP="00172A02">
      <w:pPr>
        <w:pStyle w:val="xl19"/>
        <w:tabs>
          <w:tab w:val="left" w:pos="3420"/>
          <w:tab w:val="right" w:pos="8640"/>
        </w:tabs>
        <w:spacing w:before="0" w:after="0"/>
        <w:ind w:left="3420" w:right="-1080" w:hanging="3420"/>
      </w:pPr>
      <w:r>
        <w:t xml:space="preserve">Budget Decision Unit(s): </w:t>
      </w:r>
      <w:r>
        <w:tab/>
      </w:r>
      <w:r w:rsidRPr="0018464D">
        <w:t>Prevention and Prosecution of Violence Against Women and Related Victim Services Program</w:t>
      </w:r>
    </w:p>
    <w:p w:rsidR="00172A02" w:rsidRDefault="00172A02" w:rsidP="00172A02">
      <w:pPr>
        <w:pStyle w:val="xl19"/>
        <w:tabs>
          <w:tab w:val="left" w:pos="3420"/>
          <w:tab w:val="right" w:pos="8640"/>
        </w:tabs>
        <w:spacing w:before="0" w:after="0"/>
        <w:ind w:left="3420" w:right="-1080" w:hanging="3420"/>
      </w:pPr>
      <w:r>
        <w:t>Strategic Goal(s) &amp; Objective(s):</w:t>
      </w:r>
      <w:r>
        <w:tab/>
      </w:r>
      <w:r w:rsidRPr="0018464D">
        <w:t xml:space="preserve">2.1 Strengthen partnerships for safer communities and enhance the Nation’s Capacity to prevent, solve, and control crime.                                                                                       </w:t>
      </w:r>
    </w:p>
    <w:p w:rsidR="00172A02" w:rsidRPr="0018464D" w:rsidRDefault="00172A02" w:rsidP="00172A02">
      <w:pPr>
        <w:pStyle w:val="xl19"/>
        <w:tabs>
          <w:tab w:val="left" w:pos="3420"/>
          <w:tab w:val="right" w:pos="8640"/>
        </w:tabs>
        <w:spacing w:before="0" w:after="0"/>
        <w:ind w:left="3420" w:right="-1080" w:hanging="3420"/>
      </w:pPr>
      <w:r>
        <w:t>Organizational Program:</w:t>
      </w:r>
      <w:r>
        <w:tab/>
      </w:r>
      <w:r w:rsidRPr="0018464D">
        <w:t>Transitional Housing Assistance Grants for Victims of Domestic Violence, Dating Violence, Stalking, or Sexual Assault Program</w:t>
      </w:r>
    </w:p>
    <w:p w:rsidR="00172A02" w:rsidRDefault="00172A02" w:rsidP="00172A02">
      <w:pPr>
        <w:pStyle w:val="xl19"/>
        <w:tabs>
          <w:tab w:val="left" w:pos="3420"/>
          <w:tab w:val="right" w:pos="4320"/>
        </w:tabs>
        <w:spacing w:before="0" w:after="0"/>
        <w:ind w:right="-1080"/>
      </w:pPr>
    </w:p>
    <w:p w:rsidR="00172A02" w:rsidRDefault="00172A02" w:rsidP="00172A02">
      <w:pPr>
        <w:pStyle w:val="xl19"/>
        <w:tabs>
          <w:tab w:val="left" w:pos="3420"/>
          <w:tab w:val="right" w:pos="4320"/>
        </w:tabs>
        <w:spacing w:before="0" w:after="0"/>
        <w:ind w:right="-1080"/>
        <w:rPr>
          <w:u w:val="single"/>
        </w:rPr>
      </w:pPr>
      <w:r>
        <w:t xml:space="preserve">Component Ranking of Item: </w:t>
      </w:r>
      <w:r>
        <w:tab/>
        <w:t>2</w:t>
      </w:r>
      <w:r w:rsidRPr="0018464D">
        <w:t xml:space="preserve"> of </w:t>
      </w:r>
      <w:r>
        <w:t>3</w:t>
      </w:r>
    </w:p>
    <w:p w:rsidR="00172A02" w:rsidRDefault="00172A02" w:rsidP="00172A02">
      <w:pPr>
        <w:pStyle w:val="xl19"/>
        <w:tabs>
          <w:tab w:val="left" w:pos="3420"/>
          <w:tab w:val="right" w:pos="4320"/>
        </w:tabs>
        <w:spacing w:before="0" w:after="0"/>
        <w:ind w:right="-1080"/>
        <w:rPr>
          <w:u w:val="single"/>
        </w:rPr>
      </w:pPr>
    </w:p>
    <w:p w:rsidR="00172A02" w:rsidRDefault="00172A02" w:rsidP="00172A02">
      <w:pPr>
        <w:pStyle w:val="xl19"/>
        <w:tabs>
          <w:tab w:val="left" w:pos="2340"/>
          <w:tab w:val="right" w:pos="3060"/>
          <w:tab w:val="left" w:pos="3600"/>
          <w:tab w:val="right" w:pos="4500"/>
          <w:tab w:val="left" w:pos="5310"/>
          <w:tab w:val="right" w:pos="6300"/>
        </w:tabs>
        <w:spacing w:before="0" w:after="0"/>
        <w:ind w:right="-1080"/>
        <w:rPr>
          <w:u w:val="single"/>
        </w:rPr>
      </w:pPr>
      <w:r>
        <w:t xml:space="preserve">Program Reduction:  Positions </w:t>
      </w:r>
      <w:r>
        <w:rPr>
          <w:u w:val="single"/>
        </w:rPr>
        <w:t>0  _</w:t>
      </w:r>
      <w:r>
        <w:t xml:space="preserve">  Agt/Atty__</w:t>
      </w:r>
      <w:r w:rsidRPr="006A62A6">
        <w:rPr>
          <w:u w:val="single"/>
        </w:rPr>
        <w:t>0</w:t>
      </w:r>
      <w:r>
        <w:t xml:space="preserve">__  FTE  </w:t>
      </w:r>
      <w:r>
        <w:rPr>
          <w:u w:val="single"/>
        </w:rPr>
        <w:t>___0_</w:t>
      </w:r>
      <w:r>
        <w:t xml:space="preserve">  Dollars  </w:t>
      </w:r>
      <w:r>
        <w:rPr>
          <w:u w:val="single"/>
        </w:rPr>
        <w:t>$-3,000.000</w:t>
      </w:r>
    </w:p>
    <w:p w:rsidR="00985A21" w:rsidRPr="00950EF3" w:rsidRDefault="00985A21" w:rsidP="00985A21">
      <w:pPr>
        <w:pStyle w:val="xl19"/>
        <w:tabs>
          <w:tab w:val="left" w:pos="2340"/>
          <w:tab w:val="right" w:pos="3060"/>
          <w:tab w:val="left" w:pos="3600"/>
          <w:tab w:val="right" w:pos="4500"/>
          <w:tab w:val="left" w:pos="5310"/>
          <w:tab w:val="right" w:pos="6300"/>
        </w:tabs>
        <w:spacing w:before="0" w:after="0"/>
        <w:ind w:right="-1080"/>
        <w:rPr>
          <w:u w:val="single"/>
        </w:rPr>
      </w:pPr>
    </w:p>
    <w:p w:rsidR="00985A21" w:rsidRPr="008D25C7" w:rsidRDefault="00985A21" w:rsidP="00985A21">
      <w:pPr>
        <w:pStyle w:val="xl24"/>
        <w:spacing w:before="0" w:after="0"/>
        <w:ind w:right="-1080"/>
      </w:pPr>
      <w:r w:rsidRPr="008D25C7">
        <w:t>Description of Item</w:t>
      </w:r>
    </w:p>
    <w:p w:rsidR="00985A21" w:rsidRDefault="00ED7AF1" w:rsidP="00985A21">
      <w:pPr>
        <w:ind w:right="-1080"/>
      </w:pPr>
      <w:r w:rsidRPr="00B9649B">
        <w:t>The FY201</w:t>
      </w:r>
      <w:r w:rsidR="00172A02">
        <w:t>2</w:t>
      </w:r>
      <w:r w:rsidRPr="00B9649B">
        <w:t xml:space="preserve"> </w:t>
      </w:r>
      <w:r>
        <w:t xml:space="preserve">Enacted level is </w:t>
      </w:r>
      <w:r w:rsidR="00985A21" w:rsidRPr="00B9649B">
        <w:t>$</w:t>
      </w:r>
      <w:r w:rsidR="00172A02">
        <w:t>25</w:t>
      </w:r>
      <w:r>
        <w:t>,</w:t>
      </w:r>
      <w:r w:rsidR="00172A02">
        <w:t>00</w:t>
      </w:r>
      <w:r>
        <w:t>0,000</w:t>
      </w:r>
      <w:r w:rsidR="00985A21" w:rsidRPr="00B9649B">
        <w:t xml:space="preserve"> for the </w:t>
      </w:r>
      <w:r w:rsidR="00172A02">
        <w:t>Transitional Housing</w:t>
      </w:r>
      <w:r w:rsidR="00985A21">
        <w:t xml:space="preserve"> </w:t>
      </w:r>
      <w:r w:rsidR="00985A21" w:rsidRPr="00B9649B">
        <w:t>Program.  In FY 201</w:t>
      </w:r>
      <w:r>
        <w:t>3</w:t>
      </w:r>
      <w:r w:rsidR="00985A21" w:rsidRPr="00B9649B">
        <w:t xml:space="preserve"> we are requesting </w:t>
      </w:r>
      <w:r w:rsidR="009C6348">
        <w:t>$</w:t>
      </w:r>
      <w:r w:rsidR="00172A02">
        <w:t>22</w:t>
      </w:r>
      <w:r w:rsidR="009C6348">
        <w:t>,</w:t>
      </w:r>
      <w:r w:rsidR="00172A02">
        <w:t>0</w:t>
      </w:r>
      <w:r w:rsidR="009C6348">
        <w:t xml:space="preserve">00,000, a decrease of </w:t>
      </w:r>
      <w:r w:rsidR="00C56146">
        <w:t>$</w:t>
      </w:r>
      <w:r w:rsidR="00172A02">
        <w:t>3,000,000</w:t>
      </w:r>
      <w:r w:rsidR="009C6348">
        <w:t xml:space="preserve">.  </w:t>
      </w:r>
      <w:r w:rsidR="00985A21" w:rsidRPr="00B9649B">
        <w:t xml:space="preserve"> </w:t>
      </w:r>
    </w:p>
    <w:p w:rsidR="00985A21" w:rsidRDefault="00985A21" w:rsidP="00985A21">
      <w:pPr>
        <w:ind w:right="-1080"/>
      </w:pPr>
    </w:p>
    <w:p w:rsidR="00BD73A8" w:rsidRDefault="00BD73A8" w:rsidP="00985A21">
      <w:pPr>
        <w:ind w:right="-1080"/>
      </w:pPr>
    </w:p>
    <w:p w:rsidR="00BD73A8" w:rsidRPr="008D25C7" w:rsidRDefault="00BD73A8" w:rsidP="00985A21">
      <w:pPr>
        <w:ind w:right="-1080"/>
      </w:pPr>
    </w:p>
    <w:p w:rsidR="00985A21" w:rsidRPr="008D25C7" w:rsidRDefault="00985A21" w:rsidP="00985A21">
      <w:pPr>
        <w:pStyle w:val="xl24"/>
        <w:spacing w:before="0" w:after="0"/>
        <w:ind w:right="-1080"/>
      </w:pPr>
      <w:r w:rsidRPr="008D25C7">
        <w:lastRenderedPageBreak/>
        <w:t>Justification</w:t>
      </w:r>
    </w:p>
    <w:p w:rsidR="009D6895" w:rsidRPr="009D6895" w:rsidRDefault="00172A02" w:rsidP="009D6895">
      <w:pPr>
        <w:ind w:right="-540"/>
      </w:pPr>
      <w:r>
        <w:t xml:space="preserve">Due to competing budget priorities, the Department is reducing the funding level for this Program to support other OVW critical initiatives that align with OVW budget priorities.  To support these priorities, a shift in funding was necessary to support a program increase in the </w:t>
      </w:r>
      <w:r w:rsidR="009D6895" w:rsidRPr="009D6895">
        <w:t>Rural Sexual Assault, Domestic Violence, Dating Violence, and Stalking Assistance Program (Rural Program)</w:t>
      </w:r>
    </w:p>
    <w:p w:rsidR="00CC1BB2" w:rsidRPr="009D6895" w:rsidRDefault="00CC1BB2" w:rsidP="00D8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0"/>
      </w:pPr>
    </w:p>
    <w:p w:rsidR="00985A21" w:rsidRPr="008D25C7" w:rsidRDefault="00985A21" w:rsidP="00985A21">
      <w:pPr>
        <w:pStyle w:val="Heading1"/>
        <w:ind w:right="-1080"/>
        <w:rPr>
          <w:rFonts w:ascii="Times New Roman" w:hAnsi="Times New Roman"/>
          <w:bCs/>
        </w:rPr>
      </w:pPr>
      <w:r w:rsidRPr="008D25C7">
        <w:rPr>
          <w:rFonts w:ascii="Times New Roman" w:hAnsi="Times New Roman"/>
          <w:bCs/>
        </w:rPr>
        <w:t>Funding</w:t>
      </w:r>
    </w:p>
    <w:p w:rsidR="00BF2526" w:rsidRPr="00DC4C9F" w:rsidRDefault="00BF2526" w:rsidP="00BF2526">
      <w:pPr>
        <w:pStyle w:val="xl24"/>
        <w:spacing w:before="0" w:after="0"/>
      </w:pPr>
      <w:r w:rsidRPr="00DC4C9F">
        <w:t>Base Funding</w:t>
      </w:r>
    </w:p>
    <w:p w:rsidR="00BF2526" w:rsidRPr="00DC4C9F" w:rsidRDefault="00BF2526" w:rsidP="00BF2526">
      <w:pPr>
        <w:pStyle w:val="xl24"/>
        <w:spacing w:before="0" w:after="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58"/>
        <w:gridCol w:w="590"/>
        <w:gridCol w:w="607"/>
        <w:gridCol w:w="672"/>
        <w:gridCol w:w="1535"/>
      </w:tblGrid>
      <w:tr w:rsidR="00BF2526" w:rsidRPr="00DC4C9F" w:rsidTr="00BF2526">
        <w:tc>
          <w:tcPr>
            <w:tcW w:w="3168" w:type="dxa"/>
            <w:gridSpan w:val="4"/>
            <w:shd w:val="clear" w:color="auto" w:fill="E6E6E6"/>
          </w:tcPr>
          <w:p w:rsidR="00BF2526" w:rsidRPr="00DC4C9F" w:rsidRDefault="00BF2526" w:rsidP="00BF2526">
            <w:pPr>
              <w:pStyle w:val="Heading7"/>
              <w:rPr>
                <w:sz w:val="20"/>
              </w:rPr>
            </w:pPr>
            <w:r w:rsidRPr="00DC4C9F">
              <w:rPr>
                <w:sz w:val="20"/>
              </w:rPr>
              <w:t xml:space="preserve"> FY 2011 Enacted (w/resc./supps)</w:t>
            </w:r>
          </w:p>
        </w:tc>
        <w:tc>
          <w:tcPr>
            <w:tcW w:w="3240" w:type="dxa"/>
            <w:gridSpan w:val="4"/>
            <w:shd w:val="clear" w:color="auto" w:fill="E6E6E6"/>
          </w:tcPr>
          <w:p w:rsidR="00BF2526" w:rsidRPr="00DC4C9F" w:rsidRDefault="00BF2526" w:rsidP="00172A02">
            <w:pPr>
              <w:pStyle w:val="Heading7"/>
              <w:rPr>
                <w:sz w:val="20"/>
              </w:rPr>
            </w:pPr>
            <w:r w:rsidRPr="00DC4C9F">
              <w:rPr>
                <w:sz w:val="20"/>
              </w:rPr>
              <w:t xml:space="preserve">FY 2012 </w:t>
            </w:r>
            <w:r w:rsidR="00172A02">
              <w:rPr>
                <w:sz w:val="20"/>
              </w:rPr>
              <w:t>Enacted</w:t>
            </w:r>
            <w:r>
              <w:rPr>
                <w:sz w:val="20"/>
              </w:rPr>
              <w:t xml:space="preserve"> Rate</w:t>
            </w:r>
          </w:p>
        </w:tc>
        <w:tc>
          <w:tcPr>
            <w:tcW w:w="3404" w:type="dxa"/>
            <w:gridSpan w:val="4"/>
            <w:shd w:val="clear" w:color="auto" w:fill="E6E6E6"/>
          </w:tcPr>
          <w:p w:rsidR="00BF2526" w:rsidRPr="00DC4C9F" w:rsidRDefault="00BF2526" w:rsidP="00BF2526">
            <w:pPr>
              <w:pStyle w:val="Heading7"/>
              <w:rPr>
                <w:sz w:val="20"/>
              </w:rPr>
            </w:pPr>
            <w:r w:rsidRPr="00DC4C9F">
              <w:rPr>
                <w:sz w:val="20"/>
              </w:rPr>
              <w:t>FY 2013 Current Services</w:t>
            </w:r>
          </w:p>
        </w:tc>
      </w:tr>
      <w:tr w:rsidR="00BF2526" w:rsidRPr="00DC4C9F" w:rsidTr="00BF2526">
        <w:tc>
          <w:tcPr>
            <w:tcW w:w="594" w:type="dxa"/>
          </w:tcPr>
          <w:p w:rsidR="00BF2526" w:rsidRPr="00DC4C9F" w:rsidRDefault="00BF2526" w:rsidP="00BF2526">
            <w:pPr>
              <w:pStyle w:val="xl24"/>
              <w:spacing w:before="0" w:after="0"/>
              <w:jc w:val="center"/>
              <w:rPr>
                <w:sz w:val="20"/>
                <w:u w:val="none"/>
              </w:rPr>
            </w:pPr>
            <w:r w:rsidRPr="00DC4C9F">
              <w:rPr>
                <w:sz w:val="20"/>
                <w:u w:val="none"/>
              </w:rPr>
              <w:t>Pos</w:t>
            </w:r>
          </w:p>
        </w:tc>
        <w:tc>
          <w:tcPr>
            <w:tcW w:w="607" w:type="dxa"/>
          </w:tcPr>
          <w:p w:rsidR="00BF2526" w:rsidRPr="00DC4C9F" w:rsidRDefault="00BF2526" w:rsidP="00BF2526">
            <w:pPr>
              <w:pStyle w:val="xl24"/>
              <w:spacing w:before="0" w:after="0"/>
              <w:jc w:val="center"/>
              <w:rPr>
                <w:sz w:val="20"/>
                <w:u w:val="none"/>
              </w:rPr>
            </w:pPr>
            <w:r w:rsidRPr="00DC4C9F">
              <w:rPr>
                <w:sz w:val="20"/>
                <w:u w:val="none"/>
              </w:rPr>
              <w:t>agt/</w:t>
            </w:r>
          </w:p>
          <w:p w:rsidR="00BF2526" w:rsidRPr="00DC4C9F" w:rsidRDefault="00BF2526" w:rsidP="00BF2526">
            <w:pPr>
              <w:pStyle w:val="xl24"/>
              <w:spacing w:before="0" w:after="0"/>
              <w:jc w:val="center"/>
              <w:rPr>
                <w:sz w:val="20"/>
                <w:u w:val="none"/>
              </w:rPr>
            </w:pPr>
            <w:r w:rsidRPr="00DC4C9F">
              <w:rPr>
                <w:sz w:val="20"/>
                <w:u w:val="none"/>
              </w:rPr>
              <w:t>atty</w:t>
            </w:r>
          </w:p>
        </w:tc>
        <w:tc>
          <w:tcPr>
            <w:tcW w:w="572" w:type="dxa"/>
          </w:tcPr>
          <w:p w:rsidR="00BF2526" w:rsidRPr="00DC4C9F" w:rsidRDefault="00BF2526" w:rsidP="00BF2526">
            <w:pPr>
              <w:pStyle w:val="xl24"/>
              <w:spacing w:before="0" w:after="0"/>
              <w:jc w:val="center"/>
              <w:rPr>
                <w:sz w:val="20"/>
                <w:u w:val="none"/>
              </w:rPr>
            </w:pPr>
            <w:r w:rsidRPr="00DC4C9F">
              <w:rPr>
                <w:sz w:val="20"/>
                <w:u w:val="none"/>
              </w:rPr>
              <w:t>FTE</w:t>
            </w:r>
          </w:p>
        </w:tc>
        <w:tc>
          <w:tcPr>
            <w:tcW w:w="1395" w:type="dxa"/>
          </w:tcPr>
          <w:p w:rsidR="00BF2526" w:rsidRPr="00DC4C9F" w:rsidRDefault="00DB139C" w:rsidP="00BF2526">
            <w:pPr>
              <w:pStyle w:val="xl24"/>
              <w:spacing w:before="0" w:after="0"/>
              <w:jc w:val="center"/>
              <w:rPr>
                <w:sz w:val="20"/>
                <w:u w:val="none"/>
              </w:rPr>
            </w:pPr>
            <w:r>
              <w:rPr>
                <w:sz w:val="20"/>
                <w:u w:val="none"/>
              </w:rPr>
              <w:t>($000)</w:t>
            </w:r>
          </w:p>
        </w:tc>
        <w:tc>
          <w:tcPr>
            <w:tcW w:w="603" w:type="dxa"/>
          </w:tcPr>
          <w:p w:rsidR="00BF2526" w:rsidRPr="00DC4C9F" w:rsidRDefault="00BF2526" w:rsidP="00BF2526">
            <w:pPr>
              <w:pStyle w:val="xl24"/>
              <w:spacing w:before="0" w:after="0"/>
              <w:jc w:val="center"/>
              <w:rPr>
                <w:sz w:val="20"/>
                <w:u w:val="none"/>
              </w:rPr>
            </w:pPr>
            <w:r w:rsidRPr="00DC4C9F">
              <w:rPr>
                <w:sz w:val="20"/>
                <w:u w:val="none"/>
              </w:rPr>
              <w:t>Pos</w:t>
            </w:r>
          </w:p>
        </w:tc>
        <w:tc>
          <w:tcPr>
            <w:tcW w:w="607" w:type="dxa"/>
          </w:tcPr>
          <w:p w:rsidR="00BF2526" w:rsidRPr="00DC4C9F" w:rsidRDefault="00BF2526" w:rsidP="00BF2526">
            <w:pPr>
              <w:pStyle w:val="xl24"/>
              <w:spacing w:before="0" w:after="0"/>
              <w:jc w:val="center"/>
              <w:rPr>
                <w:sz w:val="20"/>
                <w:u w:val="none"/>
              </w:rPr>
            </w:pPr>
            <w:r w:rsidRPr="00DC4C9F">
              <w:rPr>
                <w:sz w:val="20"/>
                <w:u w:val="none"/>
              </w:rPr>
              <w:t>agt/</w:t>
            </w:r>
          </w:p>
          <w:p w:rsidR="00BF2526" w:rsidRPr="00DC4C9F" w:rsidRDefault="00BF2526" w:rsidP="00BF2526">
            <w:pPr>
              <w:pStyle w:val="xl24"/>
              <w:spacing w:before="0" w:after="0"/>
              <w:jc w:val="center"/>
              <w:rPr>
                <w:sz w:val="20"/>
                <w:u w:val="none"/>
              </w:rPr>
            </w:pPr>
            <w:r w:rsidRPr="00DC4C9F">
              <w:rPr>
                <w:sz w:val="20"/>
                <w:u w:val="none"/>
              </w:rPr>
              <w:t>atty</w:t>
            </w:r>
          </w:p>
        </w:tc>
        <w:tc>
          <w:tcPr>
            <w:tcW w:w="672" w:type="dxa"/>
          </w:tcPr>
          <w:p w:rsidR="00BF2526" w:rsidRPr="00DC4C9F" w:rsidRDefault="00BF2526" w:rsidP="00BF2526">
            <w:pPr>
              <w:pStyle w:val="xl24"/>
              <w:spacing w:before="0" w:after="0"/>
              <w:jc w:val="center"/>
              <w:rPr>
                <w:sz w:val="20"/>
                <w:u w:val="none"/>
              </w:rPr>
            </w:pPr>
            <w:r w:rsidRPr="00DC4C9F">
              <w:rPr>
                <w:sz w:val="20"/>
                <w:u w:val="none"/>
              </w:rPr>
              <w:t>FTE</w:t>
            </w:r>
          </w:p>
        </w:tc>
        <w:tc>
          <w:tcPr>
            <w:tcW w:w="1358" w:type="dxa"/>
          </w:tcPr>
          <w:p w:rsidR="00BF2526" w:rsidRPr="00DC4C9F" w:rsidRDefault="00DB139C" w:rsidP="00BF2526">
            <w:pPr>
              <w:pStyle w:val="xl24"/>
              <w:spacing w:before="0" w:after="0"/>
              <w:jc w:val="center"/>
              <w:rPr>
                <w:sz w:val="20"/>
                <w:u w:val="none"/>
              </w:rPr>
            </w:pPr>
            <w:r>
              <w:rPr>
                <w:sz w:val="20"/>
                <w:u w:val="none"/>
              </w:rPr>
              <w:t>($000)</w:t>
            </w:r>
          </w:p>
        </w:tc>
        <w:tc>
          <w:tcPr>
            <w:tcW w:w="590" w:type="dxa"/>
          </w:tcPr>
          <w:p w:rsidR="00BF2526" w:rsidRPr="00DC4C9F" w:rsidRDefault="00BF2526" w:rsidP="00BF2526">
            <w:pPr>
              <w:pStyle w:val="xl24"/>
              <w:spacing w:before="0" w:after="0"/>
              <w:jc w:val="center"/>
              <w:rPr>
                <w:sz w:val="20"/>
                <w:u w:val="none"/>
              </w:rPr>
            </w:pPr>
            <w:r w:rsidRPr="00DC4C9F">
              <w:rPr>
                <w:sz w:val="20"/>
                <w:u w:val="none"/>
              </w:rPr>
              <w:t>Pos</w:t>
            </w:r>
          </w:p>
        </w:tc>
        <w:tc>
          <w:tcPr>
            <w:tcW w:w="607" w:type="dxa"/>
          </w:tcPr>
          <w:p w:rsidR="00BF2526" w:rsidRPr="00DC4C9F" w:rsidRDefault="00BF2526" w:rsidP="00BF2526">
            <w:pPr>
              <w:pStyle w:val="xl24"/>
              <w:spacing w:before="0" w:after="0"/>
              <w:jc w:val="center"/>
              <w:rPr>
                <w:sz w:val="20"/>
                <w:u w:val="none"/>
              </w:rPr>
            </w:pPr>
            <w:r w:rsidRPr="00DC4C9F">
              <w:rPr>
                <w:sz w:val="20"/>
                <w:u w:val="none"/>
              </w:rPr>
              <w:t>agt/</w:t>
            </w:r>
          </w:p>
          <w:p w:rsidR="00BF2526" w:rsidRPr="00DC4C9F" w:rsidRDefault="00BF2526" w:rsidP="00BF2526">
            <w:pPr>
              <w:pStyle w:val="xl24"/>
              <w:spacing w:before="0" w:after="0"/>
              <w:jc w:val="center"/>
              <w:rPr>
                <w:sz w:val="20"/>
                <w:u w:val="none"/>
              </w:rPr>
            </w:pPr>
            <w:r w:rsidRPr="00DC4C9F">
              <w:rPr>
                <w:sz w:val="20"/>
                <w:u w:val="none"/>
              </w:rPr>
              <w:t>atty</w:t>
            </w:r>
          </w:p>
        </w:tc>
        <w:tc>
          <w:tcPr>
            <w:tcW w:w="672" w:type="dxa"/>
          </w:tcPr>
          <w:p w:rsidR="00BF2526" w:rsidRPr="00DC4C9F" w:rsidRDefault="00BF2526" w:rsidP="00BF2526">
            <w:pPr>
              <w:pStyle w:val="xl24"/>
              <w:spacing w:before="0" w:after="0"/>
              <w:jc w:val="center"/>
              <w:rPr>
                <w:sz w:val="20"/>
                <w:u w:val="none"/>
              </w:rPr>
            </w:pPr>
            <w:r w:rsidRPr="00DC4C9F">
              <w:rPr>
                <w:sz w:val="20"/>
                <w:u w:val="none"/>
              </w:rPr>
              <w:t>FTE</w:t>
            </w:r>
          </w:p>
        </w:tc>
        <w:tc>
          <w:tcPr>
            <w:tcW w:w="1535" w:type="dxa"/>
          </w:tcPr>
          <w:p w:rsidR="00BF2526" w:rsidRPr="00DC4C9F" w:rsidRDefault="00DB139C" w:rsidP="00BF2526">
            <w:pPr>
              <w:pStyle w:val="xl24"/>
              <w:spacing w:before="0" w:after="0"/>
              <w:jc w:val="center"/>
              <w:rPr>
                <w:sz w:val="20"/>
                <w:u w:val="none"/>
              </w:rPr>
            </w:pPr>
            <w:r>
              <w:rPr>
                <w:sz w:val="20"/>
                <w:u w:val="none"/>
              </w:rPr>
              <w:t>($000)</w:t>
            </w:r>
          </w:p>
        </w:tc>
      </w:tr>
      <w:tr w:rsidR="00BF2526" w:rsidRPr="00DC4C9F" w:rsidTr="00BF2526">
        <w:tc>
          <w:tcPr>
            <w:tcW w:w="594" w:type="dxa"/>
          </w:tcPr>
          <w:p w:rsidR="00BF2526" w:rsidRPr="00DC4C9F" w:rsidRDefault="00BF2526" w:rsidP="00BF2526">
            <w:pPr>
              <w:pStyle w:val="xl24"/>
              <w:spacing w:before="0" w:after="0"/>
              <w:jc w:val="right"/>
              <w:rPr>
                <w:sz w:val="20"/>
              </w:rPr>
            </w:pPr>
          </w:p>
        </w:tc>
        <w:tc>
          <w:tcPr>
            <w:tcW w:w="607" w:type="dxa"/>
          </w:tcPr>
          <w:p w:rsidR="00BF2526" w:rsidRPr="00DC4C9F" w:rsidRDefault="00BF2526" w:rsidP="00BF2526">
            <w:pPr>
              <w:pStyle w:val="xl24"/>
              <w:spacing w:before="0" w:after="0"/>
              <w:jc w:val="right"/>
              <w:rPr>
                <w:sz w:val="20"/>
              </w:rPr>
            </w:pPr>
          </w:p>
        </w:tc>
        <w:tc>
          <w:tcPr>
            <w:tcW w:w="572" w:type="dxa"/>
          </w:tcPr>
          <w:p w:rsidR="00BF2526" w:rsidRPr="00DC4C9F" w:rsidRDefault="00BF2526" w:rsidP="00BF2526">
            <w:pPr>
              <w:pStyle w:val="xl24"/>
              <w:spacing w:before="0" w:after="0"/>
              <w:jc w:val="right"/>
              <w:rPr>
                <w:sz w:val="20"/>
              </w:rPr>
            </w:pPr>
          </w:p>
        </w:tc>
        <w:tc>
          <w:tcPr>
            <w:tcW w:w="1395" w:type="dxa"/>
          </w:tcPr>
          <w:p w:rsidR="00BF2526" w:rsidRPr="00DC4C9F" w:rsidRDefault="00172A02" w:rsidP="00BF2526">
            <w:pPr>
              <w:pStyle w:val="xl24"/>
              <w:spacing w:before="0" w:after="0"/>
              <w:jc w:val="right"/>
              <w:rPr>
                <w:sz w:val="20"/>
              </w:rPr>
            </w:pPr>
            <w:r>
              <w:rPr>
                <w:sz w:val="20"/>
                <w:u w:val="none"/>
              </w:rPr>
              <w:t>0</w:t>
            </w:r>
          </w:p>
        </w:tc>
        <w:tc>
          <w:tcPr>
            <w:tcW w:w="603" w:type="dxa"/>
          </w:tcPr>
          <w:p w:rsidR="00BF2526" w:rsidRPr="00DC4C9F" w:rsidRDefault="00BF2526" w:rsidP="00BF2526">
            <w:pPr>
              <w:pStyle w:val="xl24"/>
              <w:spacing w:before="0" w:after="0"/>
              <w:jc w:val="right"/>
              <w:rPr>
                <w:sz w:val="20"/>
              </w:rPr>
            </w:pPr>
          </w:p>
        </w:tc>
        <w:tc>
          <w:tcPr>
            <w:tcW w:w="607" w:type="dxa"/>
          </w:tcPr>
          <w:p w:rsidR="00BF2526" w:rsidRPr="00DC4C9F" w:rsidRDefault="00BF2526" w:rsidP="00BF2526">
            <w:pPr>
              <w:pStyle w:val="xl24"/>
              <w:spacing w:before="0" w:after="0"/>
              <w:jc w:val="right"/>
              <w:rPr>
                <w:sz w:val="20"/>
              </w:rPr>
            </w:pPr>
          </w:p>
        </w:tc>
        <w:tc>
          <w:tcPr>
            <w:tcW w:w="672" w:type="dxa"/>
          </w:tcPr>
          <w:p w:rsidR="00BF2526" w:rsidRPr="00DC4C9F" w:rsidRDefault="00BF2526" w:rsidP="00BF2526">
            <w:pPr>
              <w:pStyle w:val="xl24"/>
              <w:spacing w:before="0" w:after="0"/>
              <w:jc w:val="right"/>
              <w:rPr>
                <w:sz w:val="20"/>
              </w:rPr>
            </w:pPr>
          </w:p>
        </w:tc>
        <w:tc>
          <w:tcPr>
            <w:tcW w:w="1358" w:type="dxa"/>
          </w:tcPr>
          <w:p w:rsidR="00BF2526" w:rsidRPr="00DC4C9F" w:rsidRDefault="00DB139C" w:rsidP="00172A02">
            <w:pPr>
              <w:pStyle w:val="xl24"/>
              <w:spacing w:before="0" w:after="0"/>
              <w:jc w:val="right"/>
              <w:rPr>
                <w:sz w:val="20"/>
              </w:rPr>
            </w:pPr>
            <w:r>
              <w:rPr>
                <w:sz w:val="20"/>
                <w:u w:val="none"/>
              </w:rPr>
              <w:t>$</w:t>
            </w:r>
            <w:r w:rsidR="00172A02">
              <w:rPr>
                <w:sz w:val="20"/>
                <w:u w:val="none"/>
              </w:rPr>
              <w:t>25,000</w:t>
            </w:r>
          </w:p>
        </w:tc>
        <w:tc>
          <w:tcPr>
            <w:tcW w:w="590" w:type="dxa"/>
          </w:tcPr>
          <w:p w:rsidR="00BF2526" w:rsidRPr="00DC4C9F" w:rsidRDefault="00BF2526" w:rsidP="00BF2526">
            <w:pPr>
              <w:pStyle w:val="xl24"/>
              <w:spacing w:before="0" w:after="0"/>
              <w:jc w:val="right"/>
              <w:rPr>
                <w:sz w:val="20"/>
              </w:rPr>
            </w:pPr>
          </w:p>
        </w:tc>
        <w:tc>
          <w:tcPr>
            <w:tcW w:w="607" w:type="dxa"/>
          </w:tcPr>
          <w:p w:rsidR="00BF2526" w:rsidRPr="00DC4C9F" w:rsidRDefault="00BF2526" w:rsidP="00BF2526">
            <w:pPr>
              <w:pStyle w:val="xl24"/>
              <w:spacing w:before="0" w:after="0"/>
              <w:jc w:val="right"/>
              <w:rPr>
                <w:sz w:val="20"/>
              </w:rPr>
            </w:pPr>
          </w:p>
        </w:tc>
        <w:tc>
          <w:tcPr>
            <w:tcW w:w="672" w:type="dxa"/>
          </w:tcPr>
          <w:p w:rsidR="00BF2526" w:rsidRPr="00DC4C9F" w:rsidRDefault="00BF2526" w:rsidP="00BF2526">
            <w:pPr>
              <w:pStyle w:val="xl24"/>
              <w:spacing w:before="0" w:after="0"/>
              <w:jc w:val="right"/>
              <w:rPr>
                <w:sz w:val="20"/>
              </w:rPr>
            </w:pPr>
          </w:p>
        </w:tc>
        <w:tc>
          <w:tcPr>
            <w:tcW w:w="1535" w:type="dxa"/>
          </w:tcPr>
          <w:p w:rsidR="00BF2526" w:rsidRPr="00DC4C9F" w:rsidRDefault="00DB139C" w:rsidP="009D6895">
            <w:pPr>
              <w:pStyle w:val="xl24"/>
              <w:spacing w:before="0" w:after="0"/>
              <w:jc w:val="right"/>
              <w:rPr>
                <w:sz w:val="20"/>
              </w:rPr>
            </w:pPr>
            <w:r>
              <w:rPr>
                <w:sz w:val="20"/>
                <w:u w:val="none"/>
              </w:rPr>
              <w:t>$</w:t>
            </w:r>
            <w:r w:rsidR="00172A02">
              <w:rPr>
                <w:sz w:val="20"/>
                <w:u w:val="none"/>
              </w:rPr>
              <w:t>2</w:t>
            </w:r>
            <w:r w:rsidR="009D6895">
              <w:rPr>
                <w:sz w:val="20"/>
                <w:u w:val="none"/>
              </w:rPr>
              <w:t>5</w:t>
            </w:r>
            <w:r w:rsidR="00172A02">
              <w:rPr>
                <w:sz w:val="20"/>
                <w:u w:val="none"/>
              </w:rPr>
              <w:t>,000</w:t>
            </w:r>
          </w:p>
        </w:tc>
      </w:tr>
    </w:tbl>
    <w:p w:rsidR="00BF2526" w:rsidRPr="00DC4C9F" w:rsidRDefault="00BF2526" w:rsidP="00BF2526">
      <w:pPr>
        <w:pStyle w:val="BodyText"/>
      </w:pPr>
      <w:r w:rsidRPr="00DC4C9F">
        <w:rPr>
          <w:u w:val="single"/>
        </w:rPr>
        <w:t>Personnel Reduction Cost Summary</w:t>
      </w:r>
    </w:p>
    <w:p w:rsidR="00BF2526" w:rsidRDefault="00BF2526" w:rsidP="00BF2526">
      <w:pPr>
        <w:rPr>
          <w:sz w:val="20"/>
        </w:rPr>
      </w:pPr>
    </w:p>
    <w:p w:rsidR="00BF2526" w:rsidRDefault="00BF2526" w:rsidP="00BF2526">
      <w:pPr>
        <w:rPr>
          <w:sz w:val="20"/>
        </w:rPr>
      </w:pPr>
      <w:r>
        <w:rPr>
          <w:sz w:val="20"/>
        </w:rPr>
        <w:t>Not Applicable</w:t>
      </w:r>
    </w:p>
    <w:p w:rsidR="00BF2526" w:rsidRPr="00DC4C9F" w:rsidRDefault="00BF2526" w:rsidP="00BF2526">
      <w:pPr>
        <w:rPr>
          <w:sz w:val="20"/>
        </w:rPr>
      </w:pPr>
    </w:p>
    <w:p w:rsidR="00BF2526" w:rsidRPr="00DC4C9F" w:rsidRDefault="00BF2526" w:rsidP="00BF2526">
      <w:pPr>
        <w:pStyle w:val="xl24"/>
        <w:spacing w:before="0" w:after="0"/>
      </w:pPr>
      <w:r w:rsidRPr="00DC4C9F">
        <w:t>Non-Personnel Reduction Cost Summary</w:t>
      </w:r>
    </w:p>
    <w:p w:rsidR="00BF2526" w:rsidRDefault="00BF2526" w:rsidP="00BF2526">
      <w:pPr>
        <w:rPr>
          <w:sz w:val="20"/>
        </w:rPr>
      </w:pPr>
    </w:p>
    <w:p w:rsidR="00BF2526" w:rsidRDefault="00BF2526" w:rsidP="00BF2526">
      <w:pPr>
        <w:rPr>
          <w:sz w:val="20"/>
        </w:rPr>
      </w:pPr>
      <w:r>
        <w:rPr>
          <w:sz w:val="20"/>
        </w:rPr>
        <w:t>Not Applicable</w:t>
      </w:r>
    </w:p>
    <w:p w:rsidR="00BF2526" w:rsidRPr="00DC4C9F" w:rsidRDefault="00BF2526" w:rsidP="00BF2526">
      <w:pPr>
        <w:rPr>
          <w:sz w:val="20"/>
        </w:rPr>
      </w:pPr>
    </w:p>
    <w:p w:rsidR="00BF2526" w:rsidRPr="00DC4C9F" w:rsidRDefault="00BF2526" w:rsidP="00BF2526">
      <w:pPr>
        <w:pStyle w:val="xl24"/>
        <w:spacing w:before="0" w:after="0"/>
        <w:rPr>
          <w:szCs w:val="24"/>
        </w:rPr>
      </w:pPr>
      <w:r w:rsidRPr="00DC4C9F">
        <w:rPr>
          <w:szCs w:val="24"/>
        </w:rPr>
        <w:t>Total Request for this Item</w:t>
      </w:r>
    </w:p>
    <w:p w:rsidR="00BF2526" w:rsidRPr="00DC4C9F" w:rsidRDefault="00BF2526" w:rsidP="00BF2526">
      <w:pPr>
        <w:pStyle w:val="xl24"/>
        <w:spacing w:before="0" w:after="0"/>
        <w:rPr>
          <w:szCs w:val="24"/>
        </w:rPr>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754"/>
        <w:gridCol w:w="940"/>
        <w:gridCol w:w="758"/>
        <w:gridCol w:w="1253"/>
        <w:gridCol w:w="1390"/>
        <w:gridCol w:w="1310"/>
      </w:tblGrid>
      <w:tr w:rsidR="004B1D02" w:rsidRPr="00DC4C9F" w:rsidTr="004B1D02">
        <w:trPr>
          <w:trHeight w:val="658"/>
        </w:trPr>
        <w:tc>
          <w:tcPr>
            <w:tcW w:w="1443" w:type="dxa"/>
            <w:shd w:val="clear" w:color="auto" w:fill="E6E6E6"/>
          </w:tcPr>
          <w:p w:rsidR="004B1D02" w:rsidRPr="00DC4C9F" w:rsidRDefault="004B1D02" w:rsidP="00BF2526">
            <w:pPr>
              <w:rPr>
                <w:sz w:val="20"/>
              </w:rPr>
            </w:pPr>
          </w:p>
        </w:tc>
        <w:tc>
          <w:tcPr>
            <w:tcW w:w="754" w:type="dxa"/>
            <w:vAlign w:val="center"/>
          </w:tcPr>
          <w:p w:rsidR="004B1D02" w:rsidRPr="00DC4C9F" w:rsidRDefault="004B1D02" w:rsidP="00BF2526">
            <w:pPr>
              <w:jc w:val="center"/>
              <w:rPr>
                <w:sz w:val="20"/>
              </w:rPr>
            </w:pPr>
            <w:r w:rsidRPr="00DC4C9F">
              <w:rPr>
                <w:sz w:val="20"/>
              </w:rPr>
              <w:t>Pos</w:t>
            </w:r>
          </w:p>
        </w:tc>
        <w:tc>
          <w:tcPr>
            <w:tcW w:w="940" w:type="dxa"/>
            <w:vAlign w:val="center"/>
          </w:tcPr>
          <w:p w:rsidR="004B1D02" w:rsidRPr="00DC4C9F" w:rsidRDefault="004B1D02" w:rsidP="00BF2526">
            <w:pPr>
              <w:jc w:val="center"/>
              <w:rPr>
                <w:sz w:val="20"/>
              </w:rPr>
            </w:pPr>
          </w:p>
          <w:p w:rsidR="004B1D02" w:rsidRPr="00DC4C9F" w:rsidRDefault="004B1D02" w:rsidP="00BF2526">
            <w:pPr>
              <w:jc w:val="center"/>
              <w:rPr>
                <w:sz w:val="20"/>
              </w:rPr>
            </w:pPr>
            <w:r w:rsidRPr="00DC4C9F">
              <w:rPr>
                <w:sz w:val="20"/>
              </w:rPr>
              <w:t>Agt/Atty</w:t>
            </w:r>
          </w:p>
          <w:p w:rsidR="004B1D02" w:rsidRPr="00DC4C9F" w:rsidRDefault="004B1D02" w:rsidP="00BF2526">
            <w:pPr>
              <w:jc w:val="center"/>
              <w:rPr>
                <w:sz w:val="20"/>
              </w:rPr>
            </w:pPr>
          </w:p>
        </w:tc>
        <w:tc>
          <w:tcPr>
            <w:tcW w:w="758" w:type="dxa"/>
            <w:vAlign w:val="center"/>
          </w:tcPr>
          <w:p w:rsidR="004B1D02" w:rsidRPr="00DC4C9F" w:rsidRDefault="004B1D02" w:rsidP="00BF2526">
            <w:pPr>
              <w:jc w:val="center"/>
              <w:rPr>
                <w:sz w:val="20"/>
              </w:rPr>
            </w:pPr>
            <w:r w:rsidRPr="00DC4C9F">
              <w:rPr>
                <w:sz w:val="20"/>
              </w:rPr>
              <w:t>FTE</w:t>
            </w:r>
          </w:p>
        </w:tc>
        <w:tc>
          <w:tcPr>
            <w:tcW w:w="1253" w:type="dxa"/>
            <w:vAlign w:val="center"/>
          </w:tcPr>
          <w:p w:rsidR="004B1D02" w:rsidRPr="00DC4C9F" w:rsidRDefault="004B1D02" w:rsidP="00BF2526">
            <w:pPr>
              <w:jc w:val="center"/>
              <w:rPr>
                <w:sz w:val="20"/>
              </w:rPr>
            </w:pPr>
            <w:r w:rsidRPr="00DC4C9F">
              <w:rPr>
                <w:sz w:val="20"/>
              </w:rPr>
              <w:t>Personnel</w:t>
            </w:r>
          </w:p>
          <w:p w:rsidR="004B1D02" w:rsidRPr="00DC4C9F" w:rsidRDefault="004B1D02" w:rsidP="00BF2526">
            <w:pPr>
              <w:jc w:val="center"/>
              <w:rPr>
                <w:sz w:val="20"/>
              </w:rPr>
            </w:pPr>
            <w:r w:rsidRPr="00DC4C9F">
              <w:rPr>
                <w:sz w:val="20"/>
              </w:rPr>
              <w:t>($000)</w:t>
            </w:r>
          </w:p>
        </w:tc>
        <w:tc>
          <w:tcPr>
            <w:tcW w:w="1390" w:type="dxa"/>
            <w:vAlign w:val="center"/>
          </w:tcPr>
          <w:p w:rsidR="004B1D02" w:rsidRPr="00DC4C9F" w:rsidRDefault="004B1D02" w:rsidP="00BF2526">
            <w:pPr>
              <w:jc w:val="center"/>
              <w:rPr>
                <w:sz w:val="20"/>
              </w:rPr>
            </w:pPr>
            <w:r w:rsidRPr="00DC4C9F">
              <w:rPr>
                <w:sz w:val="20"/>
              </w:rPr>
              <w:t>Non-Personnel</w:t>
            </w:r>
          </w:p>
          <w:p w:rsidR="004B1D02" w:rsidRPr="00DC4C9F" w:rsidRDefault="004B1D02" w:rsidP="00BF2526">
            <w:pPr>
              <w:jc w:val="center"/>
              <w:rPr>
                <w:sz w:val="20"/>
              </w:rPr>
            </w:pPr>
            <w:r w:rsidRPr="00DC4C9F">
              <w:rPr>
                <w:sz w:val="20"/>
              </w:rPr>
              <w:t>($000)</w:t>
            </w:r>
          </w:p>
        </w:tc>
        <w:tc>
          <w:tcPr>
            <w:tcW w:w="1310" w:type="dxa"/>
            <w:vAlign w:val="center"/>
          </w:tcPr>
          <w:p w:rsidR="004B1D02" w:rsidRPr="00DC4C9F" w:rsidRDefault="004B1D02" w:rsidP="00BF2526">
            <w:pPr>
              <w:jc w:val="center"/>
              <w:rPr>
                <w:sz w:val="20"/>
              </w:rPr>
            </w:pPr>
            <w:r w:rsidRPr="00DC4C9F">
              <w:rPr>
                <w:sz w:val="20"/>
              </w:rPr>
              <w:t>Total</w:t>
            </w:r>
          </w:p>
          <w:p w:rsidR="004B1D02" w:rsidRPr="00DC4C9F" w:rsidRDefault="004B1D02" w:rsidP="00BF2526">
            <w:pPr>
              <w:jc w:val="center"/>
              <w:rPr>
                <w:sz w:val="20"/>
              </w:rPr>
            </w:pPr>
            <w:r w:rsidRPr="00DC4C9F">
              <w:rPr>
                <w:sz w:val="20"/>
              </w:rPr>
              <w:t>($000)</w:t>
            </w:r>
          </w:p>
        </w:tc>
      </w:tr>
      <w:tr w:rsidR="004B1D02" w:rsidRPr="00DC4C9F" w:rsidTr="004B1D02">
        <w:trPr>
          <w:trHeight w:val="215"/>
        </w:trPr>
        <w:tc>
          <w:tcPr>
            <w:tcW w:w="1443" w:type="dxa"/>
          </w:tcPr>
          <w:p w:rsidR="004B1D02" w:rsidRPr="00DC4C9F" w:rsidRDefault="004B1D02" w:rsidP="00BF2526">
            <w:pPr>
              <w:rPr>
                <w:sz w:val="20"/>
              </w:rPr>
            </w:pPr>
            <w:r w:rsidRPr="00DC4C9F">
              <w:rPr>
                <w:sz w:val="20"/>
              </w:rPr>
              <w:t>Current Services</w:t>
            </w:r>
          </w:p>
        </w:tc>
        <w:tc>
          <w:tcPr>
            <w:tcW w:w="754" w:type="dxa"/>
            <w:vAlign w:val="center"/>
          </w:tcPr>
          <w:p w:rsidR="004B1D02" w:rsidRPr="00DC4C9F" w:rsidRDefault="004B1D02" w:rsidP="00BF2526">
            <w:pPr>
              <w:jc w:val="right"/>
              <w:rPr>
                <w:sz w:val="20"/>
              </w:rPr>
            </w:pPr>
          </w:p>
        </w:tc>
        <w:tc>
          <w:tcPr>
            <w:tcW w:w="940" w:type="dxa"/>
          </w:tcPr>
          <w:p w:rsidR="004B1D02" w:rsidRPr="00DC4C9F" w:rsidRDefault="004B1D02" w:rsidP="00BF2526">
            <w:pPr>
              <w:jc w:val="right"/>
              <w:rPr>
                <w:sz w:val="20"/>
              </w:rPr>
            </w:pPr>
          </w:p>
        </w:tc>
        <w:tc>
          <w:tcPr>
            <w:tcW w:w="758" w:type="dxa"/>
            <w:vAlign w:val="center"/>
          </w:tcPr>
          <w:p w:rsidR="004B1D02" w:rsidRPr="00DC4C9F" w:rsidRDefault="004B1D02" w:rsidP="00BF2526">
            <w:pPr>
              <w:jc w:val="right"/>
              <w:rPr>
                <w:sz w:val="20"/>
              </w:rPr>
            </w:pPr>
          </w:p>
        </w:tc>
        <w:tc>
          <w:tcPr>
            <w:tcW w:w="1253" w:type="dxa"/>
            <w:vAlign w:val="center"/>
          </w:tcPr>
          <w:p w:rsidR="004B1D02" w:rsidRPr="00DC4C9F" w:rsidRDefault="004B1D02" w:rsidP="00BF2526">
            <w:pPr>
              <w:jc w:val="right"/>
              <w:rPr>
                <w:sz w:val="20"/>
              </w:rPr>
            </w:pPr>
          </w:p>
        </w:tc>
        <w:tc>
          <w:tcPr>
            <w:tcW w:w="1390" w:type="dxa"/>
            <w:vAlign w:val="center"/>
          </w:tcPr>
          <w:p w:rsidR="009D6895" w:rsidRDefault="009D6895" w:rsidP="009D6895">
            <w:pPr>
              <w:jc w:val="right"/>
              <w:rPr>
                <w:sz w:val="20"/>
              </w:rPr>
            </w:pPr>
          </w:p>
          <w:p w:rsidR="004B1D02" w:rsidRPr="00DC4C9F" w:rsidRDefault="004B1D02" w:rsidP="009D6895">
            <w:pPr>
              <w:jc w:val="right"/>
              <w:rPr>
                <w:sz w:val="20"/>
              </w:rPr>
            </w:pPr>
            <w:r>
              <w:rPr>
                <w:sz w:val="20"/>
              </w:rPr>
              <w:t>$</w:t>
            </w:r>
            <w:r w:rsidR="009D6895">
              <w:rPr>
                <w:sz w:val="20"/>
              </w:rPr>
              <w:t>25,000</w:t>
            </w:r>
          </w:p>
        </w:tc>
        <w:tc>
          <w:tcPr>
            <w:tcW w:w="1310" w:type="dxa"/>
          </w:tcPr>
          <w:p w:rsidR="009D6895" w:rsidRDefault="009D6895" w:rsidP="009D6895">
            <w:pPr>
              <w:jc w:val="center"/>
              <w:rPr>
                <w:sz w:val="20"/>
              </w:rPr>
            </w:pPr>
          </w:p>
          <w:p w:rsidR="009D6895" w:rsidRPr="00DC4C9F" w:rsidRDefault="009D6895" w:rsidP="009D6895">
            <w:pPr>
              <w:jc w:val="right"/>
              <w:rPr>
                <w:sz w:val="20"/>
              </w:rPr>
            </w:pPr>
            <w:r>
              <w:rPr>
                <w:sz w:val="20"/>
              </w:rPr>
              <w:t>$25,000</w:t>
            </w:r>
          </w:p>
        </w:tc>
      </w:tr>
      <w:tr w:rsidR="004B1D02" w:rsidRPr="00DC4C9F" w:rsidTr="004B1D02">
        <w:trPr>
          <w:trHeight w:val="215"/>
        </w:trPr>
        <w:tc>
          <w:tcPr>
            <w:tcW w:w="1443" w:type="dxa"/>
          </w:tcPr>
          <w:p w:rsidR="004B1D02" w:rsidRPr="00DC4C9F" w:rsidRDefault="004B1D02" w:rsidP="00BF2526">
            <w:pPr>
              <w:rPr>
                <w:sz w:val="20"/>
              </w:rPr>
            </w:pPr>
            <w:r>
              <w:rPr>
                <w:sz w:val="20"/>
              </w:rPr>
              <w:t>Decreases</w:t>
            </w:r>
          </w:p>
        </w:tc>
        <w:tc>
          <w:tcPr>
            <w:tcW w:w="754" w:type="dxa"/>
            <w:vAlign w:val="center"/>
          </w:tcPr>
          <w:p w:rsidR="004B1D02" w:rsidRPr="00DC4C9F" w:rsidRDefault="004B1D02" w:rsidP="00BF2526">
            <w:pPr>
              <w:jc w:val="right"/>
              <w:rPr>
                <w:sz w:val="20"/>
              </w:rPr>
            </w:pPr>
          </w:p>
        </w:tc>
        <w:tc>
          <w:tcPr>
            <w:tcW w:w="940" w:type="dxa"/>
          </w:tcPr>
          <w:p w:rsidR="004B1D02" w:rsidRPr="00DC4C9F" w:rsidRDefault="004B1D02" w:rsidP="00BF2526">
            <w:pPr>
              <w:jc w:val="right"/>
              <w:rPr>
                <w:sz w:val="20"/>
              </w:rPr>
            </w:pPr>
          </w:p>
        </w:tc>
        <w:tc>
          <w:tcPr>
            <w:tcW w:w="758" w:type="dxa"/>
            <w:vAlign w:val="center"/>
          </w:tcPr>
          <w:p w:rsidR="004B1D02" w:rsidRPr="00DC4C9F" w:rsidRDefault="004B1D02" w:rsidP="00BF2526">
            <w:pPr>
              <w:jc w:val="right"/>
              <w:rPr>
                <w:sz w:val="20"/>
              </w:rPr>
            </w:pPr>
          </w:p>
        </w:tc>
        <w:tc>
          <w:tcPr>
            <w:tcW w:w="1253" w:type="dxa"/>
            <w:vAlign w:val="center"/>
          </w:tcPr>
          <w:p w:rsidR="004B1D02" w:rsidRPr="00DC4C9F" w:rsidRDefault="004B1D02" w:rsidP="00BF2526">
            <w:pPr>
              <w:jc w:val="right"/>
              <w:rPr>
                <w:sz w:val="20"/>
              </w:rPr>
            </w:pPr>
          </w:p>
        </w:tc>
        <w:tc>
          <w:tcPr>
            <w:tcW w:w="1390" w:type="dxa"/>
            <w:vAlign w:val="center"/>
          </w:tcPr>
          <w:p w:rsidR="004B1D02" w:rsidRPr="00DC4C9F" w:rsidRDefault="004B1D02" w:rsidP="009D6895">
            <w:pPr>
              <w:jc w:val="right"/>
              <w:rPr>
                <w:sz w:val="20"/>
              </w:rPr>
            </w:pPr>
            <w:r>
              <w:rPr>
                <w:sz w:val="20"/>
              </w:rPr>
              <w:t>(</w:t>
            </w:r>
            <w:r w:rsidR="009D6895">
              <w:rPr>
                <w:sz w:val="20"/>
              </w:rPr>
              <w:t>3,000</w:t>
            </w:r>
            <w:r>
              <w:rPr>
                <w:sz w:val="20"/>
              </w:rPr>
              <w:t>)</w:t>
            </w:r>
          </w:p>
        </w:tc>
        <w:tc>
          <w:tcPr>
            <w:tcW w:w="1310" w:type="dxa"/>
          </w:tcPr>
          <w:p w:rsidR="004B1D02" w:rsidRPr="00DC4C9F" w:rsidRDefault="004B1D02" w:rsidP="009D6895">
            <w:pPr>
              <w:jc w:val="right"/>
              <w:rPr>
                <w:sz w:val="20"/>
              </w:rPr>
            </w:pPr>
            <w:r>
              <w:rPr>
                <w:sz w:val="20"/>
              </w:rPr>
              <w:t>(1</w:t>
            </w:r>
            <w:r w:rsidR="009D6895">
              <w:rPr>
                <w:sz w:val="20"/>
              </w:rPr>
              <w:t>3,000</w:t>
            </w:r>
            <w:r>
              <w:rPr>
                <w:sz w:val="20"/>
              </w:rPr>
              <w:t>)</w:t>
            </w:r>
          </w:p>
        </w:tc>
      </w:tr>
      <w:tr w:rsidR="004B1D02" w:rsidRPr="00DC4C9F" w:rsidTr="004B1D02">
        <w:trPr>
          <w:trHeight w:val="215"/>
        </w:trPr>
        <w:tc>
          <w:tcPr>
            <w:tcW w:w="1443" w:type="dxa"/>
          </w:tcPr>
          <w:p w:rsidR="004B1D02" w:rsidRPr="00DC4C9F" w:rsidRDefault="004B1D02" w:rsidP="00BF2526">
            <w:pPr>
              <w:rPr>
                <w:sz w:val="20"/>
              </w:rPr>
            </w:pPr>
            <w:r w:rsidRPr="00DC4C9F">
              <w:rPr>
                <w:sz w:val="20"/>
              </w:rPr>
              <w:t>Grand Total</w:t>
            </w:r>
          </w:p>
        </w:tc>
        <w:tc>
          <w:tcPr>
            <w:tcW w:w="754" w:type="dxa"/>
            <w:vAlign w:val="center"/>
          </w:tcPr>
          <w:p w:rsidR="004B1D02" w:rsidRPr="00DC4C9F" w:rsidRDefault="004B1D02" w:rsidP="00BF2526">
            <w:pPr>
              <w:jc w:val="right"/>
              <w:rPr>
                <w:sz w:val="20"/>
              </w:rPr>
            </w:pPr>
          </w:p>
        </w:tc>
        <w:tc>
          <w:tcPr>
            <w:tcW w:w="940" w:type="dxa"/>
          </w:tcPr>
          <w:p w:rsidR="004B1D02" w:rsidRPr="00DC4C9F" w:rsidRDefault="004B1D02" w:rsidP="00BF2526">
            <w:pPr>
              <w:jc w:val="right"/>
              <w:rPr>
                <w:sz w:val="20"/>
              </w:rPr>
            </w:pPr>
          </w:p>
        </w:tc>
        <w:tc>
          <w:tcPr>
            <w:tcW w:w="758" w:type="dxa"/>
            <w:vAlign w:val="center"/>
          </w:tcPr>
          <w:p w:rsidR="004B1D02" w:rsidRPr="00DC4C9F" w:rsidRDefault="004B1D02" w:rsidP="00BF2526">
            <w:pPr>
              <w:jc w:val="right"/>
              <w:rPr>
                <w:sz w:val="20"/>
              </w:rPr>
            </w:pPr>
          </w:p>
        </w:tc>
        <w:tc>
          <w:tcPr>
            <w:tcW w:w="1253" w:type="dxa"/>
            <w:vAlign w:val="center"/>
          </w:tcPr>
          <w:p w:rsidR="004B1D02" w:rsidRPr="00DC4C9F" w:rsidRDefault="004B1D02" w:rsidP="00BF2526">
            <w:pPr>
              <w:jc w:val="right"/>
              <w:rPr>
                <w:sz w:val="20"/>
              </w:rPr>
            </w:pPr>
          </w:p>
        </w:tc>
        <w:tc>
          <w:tcPr>
            <w:tcW w:w="1390" w:type="dxa"/>
            <w:vAlign w:val="center"/>
          </w:tcPr>
          <w:p w:rsidR="004B1D02" w:rsidRPr="00DC4C9F" w:rsidRDefault="004B1D02" w:rsidP="009D6895">
            <w:pPr>
              <w:jc w:val="right"/>
              <w:rPr>
                <w:sz w:val="20"/>
              </w:rPr>
            </w:pPr>
            <w:r>
              <w:rPr>
                <w:sz w:val="20"/>
              </w:rPr>
              <w:t>$</w:t>
            </w:r>
            <w:r w:rsidR="009D6895">
              <w:rPr>
                <w:sz w:val="20"/>
              </w:rPr>
              <w:t>22,000</w:t>
            </w:r>
          </w:p>
        </w:tc>
        <w:tc>
          <w:tcPr>
            <w:tcW w:w="1310" w:type="dxa"/>
          </w:tcPr>
          <w:p w:rsidR="004B1D02" w:rsidRPr="00DC4C9F" w:rsidRDefault="004B1D02" w:rsidP="009D6895">
            <w:pPr>
              <w:jc w:val="right"/>
              <w:rPr>
                <w:sz w:val="20"/>
              </w:rPr>
            </w:pPr>
            <w:r>
              <w:rPr>
                <w:sz w:val="20"/>
              </w:rPr>
              <w:t>$</w:t>
            </w:r>
            <w:r w:rsidR="009D6895">
              <w:rPr>
                <w:sz w:val="20"/>
              </w:rPr>
              <w:t>22,000</w:t>
            </w:r>
          </w:p>
        </w:tc>
      </w:tr>
    </w:tbl>
    <w:p w:rsidR="00BF2526" w:rsidRPr="009C0A84" w:rsidRDefault="00BF2526" w:rsidP="00BF2526">
      <w:pPr>
        <w:pStyle w:val="BodyText"/>
        <w:ind w:right="-540"/>
        <w:rPr>
          <w:rFonts w:cs="Arial"/>
          <w:b/>
          <w:sz w:val="28"/>
          <w:szCs w:val="28"/>
          <w:highlight w:val="yellow"/>
        </w:rPr>
      </w:pPr>
    </w:p>
    <w:p w:rsidR="00192D00" w:rsidRDefault="00192D00" w:rsidP="002D56F5">
      <w:pPr>
        <w:pStyle w:val="xl27"/>
        <w:spacing w:before="0" w:after="0"/>
        <w:ind w:right="-540"/>
        <w:rPr>
          <w:rFonts w:ascii="Times New Roman" w:hAnsi="Times New Roman"/>
          <w:sz w:val="28"/>
          <w:szCs w:val="28"/>
        </w:rPr>
      </w:pPr>
    </w:p>
    <w:p w:rsidR="00336704" w:rsidRPr="00CC1BB2" w:rsidRDefault="000F48E1" w:rsidP="00336704">
      <w:pPr>
        <w:tabs>
          <w:tab w:val="left" w:pos="3420"/>
          <w:tab w:val="right" w:pos="8640"/>
        </w:tabs>
        <w:autoSpaceDE w:val="0"/>
        <w:autoSpaceDN w:val="0"/>
        <w:adjustRightInd w:val="0"/>
        <w:ind w:left="3420" w:hanging="3420"/>
        <w:rPr>
          <w:b/>
          <w:bCs/>
        </w:rPr>
      </w:pPr>
      <w:r>
        <w:rPr>
          <w:b/>
          <w:bCs/>
        </w:rPr>
        <w:t>C</w:t>
      </w:r>
      <w:r w:rsidR="00336704" w:rsidRPr="00CC1BB2">
        <w:rPr>
          <w:b/>
          <w:bCs/>
        </w:rPr>
        <w:t>.  Item Name:</w:t>
      </w:r>
      <w:r w:rsidR="00336704" w:rsidRPr="00CC1BB2">
        <w:rPr>
          <w:b/>
          <w:bCs/>
        </w:rPr>
        <w:tab/>
      </w:r>
      <w:r w:rsidR="00966CEB" w:rsidRPr="00CC1BB2">
        <w:rPr>
          <w:b/>
          <w:bCs/>
        </w:rPr>
        <w:t>National Resource Center on Workplace Response</w:t>
      </w:r>
    </w:p>
    <w:p w:rsidR="00336704" w:rsidRPr="00CC1BB2" w:rsidRDefault="00336704" w:rsidP="00336704">
      <w:pPr>
        <w:tabs>
          <w:tab w:val="left" w:pos="3420"/>
          <w:tab w:val="right" w:pos="8640"/>
        </w:tabs>
        <w:autoSpaceDE w:val="0"/>
        <w:autoSpaceDN w:val="0"/>
        <w:adjustRightInd w:val="0"/>
      </w:pPr>
    </w:p>
    <w:p w:rsidR="00336704" w:rsidRPr="00CC1BB2" w:rsidRDefault="00336704" w:rsidP="00336704">
      <w:pPr>
        <w:autoSpaceDE w:val="0"/>
        <w:autoSpaceDN w:val="0"/>
        <w:adjustRightInd w:val="0"/>
        <w:ind w:left="3420" w:right="-1080" w:hanging="3420"/>
      </w:pPr>
      <w:r w:rsidRPr="00CC1BB2">
        <w:t xml:space="preserve">Budget Decision Unit(s): </w:t>
      </w:r>
      <w:r w:rsidRPr="00CC1BB2">
        <w:tab/>
        <w:t>Prevention and Prosecution of Violence Against Women and Related Victim Services Program</w:t>
      </w:r>
    </w:p>
    <w:p w:rsidR="00336704" w:rsidRPr="00CC1BB2" w:rsidRDefault="00336704" w:rsidP="00336704">
      <w:pPr>
        <w:tabs>
          <w:tab w:val="left" w:pos="3420"/>
          <w:tab w:val="right" w:pos="8640"/>
        </w:tabs>
        <w:autoSpaceDE w:val="0"/>
        <w:autoSpaceDN w:val="0"/>
        <w:adjustRightInd w:val="0"/>
        <w:ind w:left="3420" w:right="-1080" w:hanging="3420"/>
      </w:pPr>
      <w:r w:rsidRPr="00CC1BB2">
        <w:t>Strategic Goal(s) &amp; Objective(s):</w:t>
      </w:r>
      <w:r w:rsidRPr="00CC1BB2">
        <w:tab/>
        <w:t>2.1 Strengthen partnerships for safer communities and enhance the Nation’s Capacity to prevent, solve, and control crime.</w:t>
      </w:r>
      <w:r w:rsidRPr="00CC1BB2">
        <w:rPr>
          <w:u w:val="single"/>
        </w:rPr>
        <w:t xml:space="preserve">                                                                                       </w:t>
      </w:r>
    </w:p>
    <w:p w:rsidR="00336704" w:rsidRPr="00CC1BB2" w:rsidRDefault="00336704" w:rsidP="00336704">
      <w:pPr>
        <w:tabs>
          <w:tab w:val="left" w:pos="3420"/>
          <w:tab w:val="right" w:pos="4320"/>
        </w:tabs>
        <w:autoSpaceDE w:val="0"/>
        <w:autoSpaceDN w:val="0"/>
        <w:adjustRightInd w:val="0"/>
        <w:ind w:left="3420" w:hanging="3420"/>
      </w:pPr>
      <w:r w:rsidRPr="00CC1BB2">
        <w:t>Organizational Program:</w:t>
      </w:r>
      <w:r w:rsidRPr="00CC1BB2">
        <w:tab/>
      </w:r>
      <w:r w:rsidRPr="00CC1BB2">
        <w:rPr>
          <w:bCs/>
        </w:rPr>
        <w:t>Analysis and Research on Violence Against Indian Women</w:t>
      </w:r>
    </w:p>
    <w:p w:rsidR="00336704" w:rsidRPr="00CC1BB2" w:rsidRDefault="00336704" w:rsidP="00336704">
      <w:pPr>
        <w:tabs>
          <w:tab w:val="left" w:pos="3420"/>
          <w:tab w:val="right" w:pos="4320"/>
        </w:tabs>
        <w:autoSpaceDE w:val="0"/>
        <w:autoSpaceDN w:val="0"/>
        <w:adjustRightInd w:val="0"/>
      </w:pPr>
    </w:p>
    <w:p w:rsidR="00336704" w:rsidRPr="00CC1BB2" w:rsidRDefault="00336704" w:rsidP="00336704">
      <w:pPr>
        <w:tabs>
          <w:tab w:val="left" w:pos="3420"/>
          <w:tab w:val="right" w:pos="4320"/>
        </w:tabs>
        <w:autoSpaceDE w:val="0"/>
        <w:autoSpaceDN w:val="0"/>
        <w:adjustRightInd w:val="0"/>
      </w:pPr>
      <w:r w:rsidRPr="00CC1BB2">
        <w:t xml:space="preserve">Component Ranking of Item: </w:t>
      </w:r>
      <w:r w:rsidRPr="00CC1BB2">
        <w:tab/>
      </w:r>
      <w:r w:rsidR="000F48E1">
        <w:t>3</w:t>
      </w:r>
      <w:r w:rsidRPr="00CC1BB2">
        <w:t xml:space="preserve"> of</w:t>
      </w:r>
      <w:r w:rsidR="000F48E1">
        <w:t xml:space="preserve"> 3</w:t>
      </w:r>
    </w:p>
    <w:p w:rsidR="00336704" w:rsidRPr="00CC1BB2" w:rsidRDefault="00336704" w:rsidP="00336704">
      <w:pPr>
        <w:autoSpaceDE w:val="0"/>
        <w:autoSpaceDN w:val="0"/>
        <w:adjustRightInd w:val="0"/>
      </w:pPr>
    </w:p>
    <w:p w:rsidR="00336704" w:rsidRPr="00CC1BB2" w:rsidRDefault="00336704" w:rsidP="00336704">
      <w:pPr>
        <w:autoSpaceDE w:val="0"/>
        <w:autoSpaceDN w:val="0"/>
        <w:adjustRightInd w:val="0"/>
      </w:pPr>
    </w:p>
    <w:p w:rsidR="00336704" w:rsidRPr="00CC1BB2" w:rsidRDefault="00336704" w:rsidP="00336704">
      <w:pPr>
        <w:tabs>
          <w:tab w:val="left" w:pos="2340"/>
          <w:tab w:val="right" w:pos="3060"/>
          <w:tab w:val="left" w:pos="3600"/>
          <w:tab w:val="right" w:pos="4500"/>
          <w:tab w:val="left" w:pos="5310"/>
          <w:tab w:val="right" w:pos="6300"/>
        </w:tabs>
        <w:autoSpaceDE w:val="0"/>
        <w:autoSpaceDN w:val="0"/>
        <w:adjustRightInd w:val="0"/>
        <w:rPr>
          <w:u w:val="single"/>
        </w:rPr>
      </w:pPr>
      <w:r w:rsidRPr="00CC1BB2">
        <w:t>Program Reductions:  Positions _</w:t>
      </w:r>
      <w:r w:rsidRPr="00CC1BB2">
        <w:rPr>
          <w:u w:val="single"/>
        </w:rPr>
        <w:t xml:space="preserve"> 0_</w:t>
      </w:r>
      <w:r w:rsidRPr="00CC1BB2">
        <w:t xml:space="preserve"> Agt/Atty __0_ FTE __</w:t>
      </w:r>
      <w:r w:rsidRPr="00CC1BB2">
        <w:rPr>
          <w:u w:val="single"/>
        </w:rPr>
        <w:t>_</w:t>
      </w:r>
      <w:r w:rsidRPr="00CC1BB2">
        <w:t xml:space="preserve"> Dollars  $ - </w:t>
      </w:r>
      <w:r w:rsidR="000F48E1">
        <w:t>500</w:t>
      </w:r>
      <w:r w:rsidR="00CC1BB2">
        <w:t>,000</w:t>
      </w:r>
    </w:p>
    <w:p w:rsidR="00336704" w:rsidRDefault="00336704" w:rsidP="00336704">
      <w:pPr>
        <w:tabs>
          <w:tab w:val="left" w:pos="2340"/>
          <w:tab w:val="right" w:pos="3060"/>
          <w:tab w:val="left" w:pos="3600"/>
          <w:tab w:val="right" w:pos="4500"/>
          <w:tab w:val="left" w:pos="5310"/>
          <w:tab w:val="right" w:pos="6300"/>
        </w:tabs>
        <w:autoSpaceDE w:val="0"/>
        <w:autoSpaceDN w:val="0"/>
        <w:adjustRightInd w:val="0"/>
      </w:pPr>
    </w:p>
    <w:p w:rsidR="00336704" w:rsidRDefault="00336704" w:rsidP="00336704">
      <w:pPr>
        <w:autoSpaceDE w:val="0"/>
        <w:autoSpaceDN w:val="0"/>
        <w:adjustRightInd w:val="0"/>
        <w:rPr>
          <w:u w:val="single"/>
        </w:rPr>
      </w:pPr>
      <w:r>
        <w:rPr>
          <w:u w:val="single"/>
        </w:rPr>
        <w:t>Description of Item</w:t>
      </w:r>
    </w:p>
    <w:p w:rsidR="00C54AFC" w:rsidRDefault="00D81B30" w:rsidP="00C54AFC">
      <w:pPr>
        <w:ind w:right="-1080"/>
      </w:pPr>
      <w:r w:rsidRPr="00B9649B">
        <w:t>The FY201</w:t>
      </w:r>
      <w:r w:rsidR="000F48E1">
        <w:t>2</w:t>
      </w:r>
      <w:r w:rsidRPr="00B9649B">
        <w:t xml:space="preserve"> </w:t>
      </w:r>
      <w:r>
        <w:t xml:space="preserve">Enacted level is </w:t>
      </w:r>
      <w:r w:rsidR="00966CEB">
        <w:t>$</w:t>
      </w:r>
      <w:r w:rsidR="000F48E1">
        <w:t>1,000</w:t>
      </w:r>
      <w:r w:rsidR="00C54AFC">
        <w:t>,000</w:t>
      </w:r>
      <w:r w:rsidR="00966CEB">
        <w:t xml:space="preserve"> for the National Resource Center on Workplace Response.</w:t>
      </w:r>
      <w:r w:rsidR="00C54AFC">
        <w:t xml:space="preserve">  </w:t>
      </w:r>
      <w:r w:rsidR="00C54AFC" w:rsidRPr="00B9649B">
        <w:t>In FY 201</w:t>
      </w:r>
      <w:r w:rsidR="00C54AFC">
        <w:t>3</w:t>
      </w:r>
      <w:r w:rsidR="00C54AFC" w:rsidRPr="00B9649B">
        <w:t xml:space="preserve"> we are requesting </w:t>
      </w:r>
      <w:r w:rsidR="00C54AFC">
        <w:t xml:space="preserve">a </w:t>
      </w:r>
      <w:r w:rsidR="00C54AFC" w:rsidRPr="00B9649B">
        <w:t>$</w:t>
      </w:r>
      <w:r w:rsidR="000F48E1">
        <w:t>500</w:t>
      </w:r>
      <w:r w:rsidR="00C54AFC">
        <w:t>,000 decrease.</w:t>
      </w:r>
      <w:r w:rsidR="00C54AFC" w:rsidRPr="00B9649B">
        <w:t xml:space="preserve"> </w:t>
      </w:r>
    </w:p>
    <w:p w:rsidR="00336704" w:rsidRDefault="00336704" w:rsidP="00336704">
      <w:pPr>
        <w:autoSpaceDE w:val="0"/>
        <w:autoSpaceDN w:val="0"/>
        <w:adjustRightInd w:val="0"/>
      </w:pPr>
    </w:p>
    <w:p w:rsidR="00BD73A8" w:rsidRDefault="00BD73A8" w:rsidP="00336704">
      <w:pPr>
        <w:autoSpaceDE w:val="0"/>
        <w:autoSpaceDN w:val="0"/>
        <w:adjustRightInd w:val="0"/>
      </w:pPr>
    </w:p>
    <w:p w:rsidR="00336704" w:rsidRDefault="00336704" w:rsidP="00336704">
      <w:pPr>
        <w:autoSpaceDE w:val="0"/>
        <w:autoSpaceDN w:val="0"/>
        <w:adjustRightInd w:val="0"/>
        <w:rPr>
          <w:u w:val="single"/>
        </w:rPr>
      </w:pPr>
      <w:r>
        <w:rPr>
          <w:u w:val="single"/>
        </w:rPr>
        <w:lastRenderedPageBreak/>
        <w:t>Justification</w:t>
      </w:r>
    </w:p>
    <w:p w:rsidR="009D6895" w:rsidRPr="009D6895" w:rsidRDefault="009D6895" w:rsidP="009D6895">
      <w:pPr>
        <w:ind w:right="-540"/>
      </w:pPr>
      <w:r>
        <w:t xml:space="preserve">Due to competing budget priorities, the Department is reducing the funding level for this Program to support other OVW critical initiatives that align with OVW budget priorities.  To support these priorities, a shift in funding was necessary to support a program increase in the </w:t>
      </w:r>
      <w:r w:rsidRPr="009D6895">
        <w:t>Rural Sexual Assault, Domestic Violence, Dating Violence, and Stalking Assistance Program (Rural Program)</w:t>
      </w:r>
    </w:p>
    <w:p w:rsidR="00336704" w:rsidRDefault="000F48E1" w:rsidP="009D6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0"/>
      </w:pPr>
      <w:r>
        <w:t xml:space="preserve">.  </w:t>
      </w:r>
      <w:r w:rsidR="00336704">
        <w:t xml:space="preserve"> </w:t>
      </w:r>
    </w:p>
    <w:p w:rsidR="00336704" w:rsidRDefault="00336704" w:rsidP="00336704">
      <w:pPr>
        <w:autoSpaceDE w:val="0"/>
        <w:autoSpaceDN w:val="0"/>
        <w:adjustRightInd w:val="0"/>
        <w:ind w:right="-1080"/>
        <w:jc w:val="center"/>
        <w:rPr>
          <w:b/>
          <w:bCs/>
        </w:rPr>
      </w:pPr>
      <w:r w:rsidRPr="005951EB">
        <w:rPr>
          <w:b/>
          <w:bCs/>
        </w:rPr>
        <w:t>Funding</w:t>
      </w:r>
    </w:p>
    <w:p w:rsidR="00336704" w:rsidRPr="00E22DA7" w:rsidRDefault="00336704" w:rsidP="00336704">
      <w:pPr>
        <w:autoSpaceDE w:val="0"/>
        <w:autoSpaceDN w:val="0"/>
        <w:adjustRightInd w:val="0"/>
        <w:ind w:right="-1080"/>
        <w:jc w:val="center"/>
        <w:rPr>
          <w:b/>
          <w:bCs/>
        </w:rPr>
      </w:pPr>
    </w:p>
    <w:p w:rsidR="00BF2526" w:rsidRPr="00DC4C9F" w:rsidRDefault="00BF2526" w:rsidP="00BF2526">
      <w:pPr>
        <w:pStyle w:val="xl24"/>
        <w:spacing w:before="0" w:after="0"/>
      </w:pPr>
      <w:r w:rsidRPr="00DC4C9F">
        <w:t>Base Funding</w:t>
      </w:r>
    </w:p>
    <w:p w:rsidR="00BF2526" w:rsidRPr="00DC4C9F" w:rsidRDefault="00BF2526" w:rsidP="00BF2526">
      <w:pPr>
        <w:pStyle w:val="xl24"/>
        <w:spacing w:before="0" w:after="0"/>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58"/>
        <w:gridCol w:w="590"/>
        <w:gridCol w:w="607"/>
        <w:gridCol w:w="672"/>
        <w:gridCol w:w="1535"/>
      </w:tblGrid>
      <w:tr w:rsidR="00BF2526" w:rsidRPr="00DC4C9F" w:rsidTr="00BF2526">
        <w:tc>
          <w:tcPr>
            <w:tcW w:w="3168" w:type="dxa"/>
            <w:gridSpan w:val="4"/>
            <w:shd w:val="clear" w:color="auto" w:fill="E6E6E6"/>
          </w:tcPr>
          <w:p w:rsidR="00BF2526" w:rsidRPr="00DC4C9F" w:rsidRDefault="00BF2526" w:rsidP="00BF2526">
            <w:pPr>
              <w:pStyle w:val="Heading7"/>
              <w:rPr>
                <w:sz w:val="20"/>
              </w:rPr>
            </w:pPr>
            <w:r w:rsidRPr="00DC4C9F">
              <w:rPr>
                <w:sz w:val="20"/>
              </w:rPr>
              <w:t xml:space="preserve"> FY 2011 Enacted (w/resc./supps)</w:t>
            </w:r>
          </w:p>
        </w:tc>
        <w:tc>
          <w:tcPr>
            <w:tcW w:w="3240" w:type="dxa"/>
            <w:gridSpan w:val="4"/>
            <w:shd w:val="clear" w:color="auto" w:fill="E6E6E6"/>
          </w:tcPr>
          <w:p w:rsidR="00BF2526" w:rsidRPr="00DC4C9F" w:rsidRDefault="00BF2526" w:rsidP="00BF2526">
            <w:pPr>
              <w:pStyle w:val="Heading7"/>
              <w:rPr>
                <w:sz w:val="20"/>
              </w:rPr>
            </w:pPr>
            <w:r w:rsidRPr="00DC4C9F">
              <w:rPr>
                <w:sz w:val="20"/>
              </w:rPr>
              <w:t xml:space="preserve">FY 2012 </w:t>
            </w:r>
            <w:r>
              <w:rPr>
                <w:sz w:val="20"/>
              </w:rPr>
              <w:t>Current Rate</w:t>
            </w:r>
          </w:p>
        </w:tc>
        <w:tc>
          <w:tcPr>
            <w:tcW w:w="3404" w:type="dxa"/>
            <w:gridSpan w:val="4"/>
            <w:shd w:val="clear" w:color="auto" w:fill="E6E6E6"/>
          </w:tcPr>
          <w:p w:rsidR="00BF2526" w:rsidRPr="00DC4C9F" w:rsidRDefault="00BF2526" w:rsidP="00BF2526">
            <w:pPr>
              <w:pStyle w:val="Heading7"/>
              <w:rPr>
                <w:sz w:val="20"/>
              </w:rPr>
            </w:pPr>
            <w:r w:rsidRPr="00DC4C9F">
              <w:rPr>
                <w:sz w:val="20"/>
              </w:rPr>
              <w:t>FY 2013 Current Services</w:t>
            </w:r>
          </w:p>
        </w:tc>
      </w:tr>
      <w:tr w:rsidR="00BF2526" w:rsidRPr="00DC4C9F" w:rsidTr="00BF2526">
        <w:tc>
          <w:tcPr>
            <w:tcW w:w="594" w:type="dxa"/>
          </w:tcPr>
          <w:p w:rsidR="00BF2526" w:rsidRPr="00DC4C9F" w:rsidRDefault="00BF2526" w:rsidP="00BF2526">
            <w:pPr>
              <w:pStyle w:val="xl24"/>
              <w:spacing w:before="0" w:after="0"/>
              <w:jc w:val="center"/>
              <w:rPr>
                <w:sz w:val="20"/>
                <w:u w:val="none"/>
              </w:rPr>
            </w:pPr>
            <w:r w:rsidRPr="00DC4C9F">
              <w:rPr>
                <w:sz w:val="20"/>
                <w:u w:val="none"/>
              </w:rPr>
              <w:t>Pos</w:t>
            </w:r>
          </w:p>
        </w:tc>
        <w:tc>
          <w:tcPr>
            <w:tcW w:w="607" w:type="dxa"/>
          </w:tcPr>
          <w:p w:rsidR="00BF2526" w:rsidRPr="00DC4C9F" w:rsidRDefault="00BF2526" w:rsidP="00BF2526">
            <w:pPr>
              <w:pStyle w:val="xl24"/>
              <w:spacing w:before="0" w:after="0"/>
              <w:jc w:val="center"/>
              <w:rPr>
                <w:sz w:val="20"/>
                <w:u w:val="none"/>
              </w:rPr>
            </w:pPr>
            <w:r w:rsidRPr="00DC4C9F">
              <w:rPr>
                <w:sz w:val="20"/>
                <w:u w:val="none"/>
              </w:rPr>
              <w:t>agt/</w:t>
            </w:r>
          </w:p>
          <w:p w:rsidR="00BF2526" w:rsidRPr="00DC4C9F" w:rsidRDefault="00BF2526" w:rsidP="00BF2526">
            <w:pPr>
              <w:pStyle w:val="xl24"/>
              <w:spacing w:before="0" w:after="0"/>
              <w:jc w:val="center"/>
              <w:rPr>
                <w:sz w:val="20"/>
                <w:u w:val="none"/>
              </w:rPr>
            </w:pPr>
            <w:r w:rsidRPr="00DC4C9F">
              <w:rPr>
                <w:sz w:val="20"/>
                <w:u w:val="none"/>
              </w:rPr>
              <w:t>atty</w:t>
            </w:r>
          </w:p>
        </w:tc>
        <w:tc>
          <w:tcPr>
            <w:tcW w:w="572" w:type="dxa"/>
          </w:tcPr>
          <w:p w:rsidR="00BF2526" w:rsidRPr="00DC4C9F" w:rsidRDefault="00BF2526" w:rsidP="00BF2526">
            <w:pPr>
              <w:pStyle w:val="xl24"/>
              <w:spacing w:before="0" w:after="0"/>
              <w:jc w:val="center"/>
              <w:rPr>
                <w:sz w:val="20"/>
                <w:u w:val="none"/>
              </w:rPr>
            </w:pPr>
            <w:r w:rsidRPr="00DC4C9F">
              <w:rPr>
                <w:sz w:val="20"/>
                <w:u w:val="none"/>
              </w:rPr>
              <w:t>FTE</w:t>
            </w:r>
          </w:p>
        </w:tc>
        <w:tc>
          <w:tcPr>
            <w:tcW w:w="1395" w:type="dxa"/>
          </w:tcPr>
          <w:p w:rsidR="00BF2526" w:rsidRPr="00DC4C9F" w:rsidRDefault="00DB139C" w:rsidP="00BF2526">
            <w:pPr>
              <w:pStyle w:val="xl24"/>
              <w:spacing w:before="0" w:after="0"/>
              <w:jc w:val="center"/>
              <w:rPr>
                <w:sz w:val="20"/>
                <w:u w:val="none"/>
              </w:rPr>
            </w:pPr>
            <w:r>
              <w:rPr>
                <w:sz w:val="20"/>
                <w:u w:val="none"/>
              </w:rPr>
              <w:t>($000)</w:t>
            </w:r>
          </w:p>
        </w:tc>
        <w:tc>
          <w:tcPr>
            <w:tcW w:w="603" w:type="dxa"/>
          </w:tcPr>
          <w:p w:rsidR="00BF2526" w:rsidRPr="00DC4C9F" w:rsidRDefault="00BF2526" w:rsidP="00BF2526">
            <w:pPr>
              <w:pStyle w:val="xl24"/>
              <w:spacing w:before="0" w:after="0"/>
              <w:jc w:val="center"/>
              <w:rPr>
                <w:sz w:val="20"/>
                <w:u w:val="none"/>
              </w:rPr>
            </w:pPr>
            <w:r w:rsidRPr="00DC4C9F">
              <w:rPr>
                <w:sz w:val="20"/>
                <w:u w:val="none"/>
              </w:rPr>
              <w:t>Pos</w:t>
            </w:r>
          </w:p>
        </w:tc>
        <w:tc>
          <w:tcPr>
            <w:tcW w:w="607" w:type="dxa"/>
          </w:tcPr>
          <w:p w:rsidR="00BF2526" w:rsidRPr="00DC4C9F" w:rsidRDefault="00BF2526" w:rsidP="00BF2526">
            <w:pPr>
              <w:pStyle w:val="xl24"/>
              <w:spacing w:before="0" w:after="0"/>
              <w:jc w:val="center"/>
              <w:rPr>
                <w:sz w:val="20"/>
                <w:u w:val="none"/>
              </w:rPr>
            </w:pPr>
            <w:r w:rsidRPr="00DC4C9F">
              <w:rPr>
                <w:sz w:val="20"/>
                <w:u w:val="none"/>
              </w:rPr>
              <w:t>agt/</w:t>
            </w:r>
          </w:p>
          <w:p w:rsidR="00BF2526" w:rsidRPr="00DC4C9F" w:rsidRDefault="00BF2526" w:rsidP="00BF2526">
            <w:pPr>
              <w:pStyle w:val="xl24"/>
              <w:spacing w:before="0" w:after="0"/>
              <w:jc w:val="center"/>
              <w:rPr>
                <w:sz w:val="20"/>
                <w:u w:val="none"/>
              </w:rPr>
            </w:pPr>
            <w:r w:rsidRPr="00DC4C9F">
              <w:rPr>
                <w:sz w:val="20"/>
                <w:u w:val="none"/>
              </w:rPr>
              <w:t>atty</w:t>
            </w:r>
          </w:p>
        </w:tc>
        <w:tc>
          <w:tcPr>
            <w:tcW w:w="672" w:type="dxa"/>
          </w:tcPr>
          <w:p w:rsidR="00BF2526" w:rsidRPr="00DC4C9F" w:rsidRDefault="00BF2526" w:rsidP="00BF2526">
            <w:pPr>
              <w:pStyle w:val="xl24"/>
              <w:spacing w:before="0" w:after="0"/>
              <w:jc w:val="center"/>
              <w:rPr>
                <w:sz w:val="20"/>
                <w:u w:val="none"/>
              </w:rPr>
            </w:pPr>
            <w:r w:rsidRPr="00DC4C9F">
              <w:rPr>
                <w:sz w:val="20"/>
                <w:u w:val="none"/>
              </w:rPr>
              <w:t>FTE</w:t>
            </w:r>
          </w:p>
        </w:tc>
        <w:tc>
          <w:tcPr>
            <w:tcW w:w="1358" w:type="dxa"/>
          </w:tcPr>
          <w:p w:rsidR="00BF2526" w:rsidRPr="00DC4C9F" w:rsidRDefault="00DB139C" w:rsidP="00BF2526">
            <w:pPr>
              <w:pStyle w:val="xl24"/>
              <w:spacing w:before="0" w:after="0"/>
              <w:jc w:val="center"/>
              <w:rPr>
                <w:sz w:val="20"/>
                <w:u w:val="none"/>
              </w:rPr>
            </w:pPr>
            <w:r>
              <w:rPr>
                <w:sz w:val="20"/>
                <w:u w:val="none"/>
              </w:rPr>
              <w:t>($000)</w:t>
            </w:r>
          </w:p>
        </w:tc>
        <w:tc>
          <w:tcPr>
            <w:tcW w:w="590" w:type="dxa"/>
          </w:tcPr>
          <w:p w:rsidR="00BF2526" w:rsidRPr="00DC4C9F" w:rsidRDefault="00BF2526" w:rsidP="00BF2526">
            <w:pPr>
              <w:pStyle w:val="xl24"/>
              <w:spacing w:before="0" w:after="0"/>
              <w:jc w:val="center"/>
              <w:rPr>
                <w:sz w:val="20"/>
                <w:u w:val="none"/>
              </w:rPr>
            </w:pPr>
            <w:r w:rsidRPr="00DC4C9F">
              <w:rPr>
                <w:sz w:val="20"/>
                <w:u w:val="none"/>
              </w:rPr>
              <w:t>Pos</w:t>
            </w:r>
          </w:p>
        </w:tc>
        <w:tc>
          <w:tcPr>
            <w:tcW w:w="607" w:type="dxa"/>
          </w:tcPr>
          <w:p w:rsidR="00BF2526" w:rsidRPr="00DC4C9F" w:rsidRDefault="00BF2526" w:rsidP="00BF2526">
            <w:pPr>
              <w:pStyle w:val="xl24"/>
              <w:spacing w:before="0" w:after="0"/>
              <w:jc w:val="center"/>
              <w:rPr>
                <w:sz w:val="20"/>
                <w:u w:val="none"/>
              </w:rPr>
            </w:pPr>
            <w:r w:rsidRPr="00DC4C9F">
              <w:rPr>
                <w:sz w:val="20"/>
                <w:u w:val="none"/>
              </w:rPr>
              <w:t>agt/</w:t>
            </w:r>
          </w:p>
          <w:p w:rsidR="00BF2526" w:rsidRPr="00DC4C9F" w:rsidRDefault="00BF2526" w:rsidP="00BF2526">
            <w:pPr>
              <w:pStyle w:val="xl24"/>
              <w:spacing w:before="0" w:after="0"/>
              <w:jc w:val="center"/>
              <w:rPr>
                <w:sz w:val="20"/>
                <w:u w:val="none"/>
              </w:rPr>
            </w:pPr>
            <w:r w:rsidRPr="00DC4C9F">
              <w:rPr>
                <w:sz w:val="20"/>
                <w:u w:val="none"/>
              </w:rPr>
              <w:t>atty</w:t>
            </w:r>
          </w:p>
        </w:tc>
        <w:tc>
          <w:tcPr>
            <w:tcW w:w="672" w:type="dxa"/>
          </w:tcPr>
          <w:p w:rsidR="00BF2526" w:rsidRPr="00DC4C9F" w:rsidRDefault="00BF2526" w:rsidP="00BF2526">
            <w:pPr>
              <w:pStyle w:val="xl24"/>
              <w:spacing w:before="0" w:after="0"/>
              <w:jc w:val="center"/>
              <w:rPr>
                <w:sz w:val="20"/>
                <w:u w:val="none"/>
              </w:rPr>
            </w:pPr>
            <w:r w:rsidRPr="00DC4C9F">
              <w:rPr>
                <w:sz w:val="20"/>
                <w:u w:val="none"/>
              </w:rPr>
              <w:t>FTE</w:t>
            </w:r>
          </w:p>
        </w:tc>
        <w:tc>
          <w:tcPr>
            <w:tcW w:w="1535" w:type="dxa"/>
          </w:tcPr>
          <w:p w:rsidR="00BF2526" w:rsidRPr="00DC4C9F" w:rsidRDefault="00DB139C" w:rsidP="00BF2526">
            <w:pPr>
              <w:pStyle w:val="xl24"/>
              <w:spacing w:before="0" w:after="0"/>
              <w:jc w:val="center"/>
              <w:rPr>
                <w:sz w:val="20"/>
                <w:u w:val="none"/>
              </w:rPr>
            </w:pPr>
            <w:r>
              <w:rPr>
                <w:sz w:val="20"/>
                <w:u w:val="none"/>
              </w:rPr>
              <w:t>($000)</w:t>
            </w:r>
          </w:p>
        </w:tc>
      </w:tr>
      <w:tr w:rsidR="00BF2526" w:rsidRPr="00DC4C9F" w:rsidTr="00BF2526">
        <w:tc>
          <w:tcPr>
            <w:tcW w:w="594" w:type="dxa"/>
          </w:tcPr>
          <w:p w:rsidR="00BF2526" w:rsidRPr="00DC4C9F" w:rsidRDefault="00BF2526" w:rsidP="00BF2526">
            <w:pPr>
              <w:pStyle w:val="xl24"/>
              <w:spacing w:before="0" w:after="0"/>
              <w:jc w:val="right"/>
              <w:rPr>
                <w:sz w:val="20"/>
              </w:rPr>
            </w:pPr>
          </w:p>
        </w:tc>
        <w:tc>
          <w:tcPr>
            <w:tcW w:w="607" w:type="dxa"/>
          </w:tcPr>
          <w:p w:rsidR="00BF2526" w:rsidRPr="00DC4C9F" w:rsidRDefault="00BF2526" w:rsidP="00BF2526">
            <w:pPr>
              <w:pStyle w:val="xl24"/>
              <w:spacing w:before="0" w:after="0"/>
              <w:jc w:val="right"/>
              <w:rPr>
                <w:sz w:val="20"/>
              </w:rPr>
            </w:pPr>
          </w:p>
        </w:tc>
        <w:tc>
          <w:tcPr>
            <w:tcW w:w="572" w:type="dxa"/>
          </w:tcPr>
          <w:p w:rsidR="00BF2526" w:rsidRPr="00DC4C9F" w:rsidRDefault="00BF2526" w:rsidP="00BF2526">
            <w:pPr>
              <w:pStyle w:val="xl24"/>
              <w:spacing w:before="0" w:after="0"/>
              <w:jc w:val="right"/>
              <w:rPr>
                <w:sz w:val="20"/>
              </w:rPr>
            </w:pPr>
          </w:p>
        </w:tc>
        <w:tc>
          <w:tcPr>
            <w:tcW w:w="1395" w:type="dxa"/>
          </w:tcPr>
          <w:p w:rsidR="00BF2526" w:rsidRPr="00DC4C9F" w:rsidRDefault="00DB139C" w:rsidP="00BF2526">
            <w:pPr>
              <w:pStyle w:val="xl24"/>
              <w:spacing w:before="0" w:after="0"/>
              <w:jc w:val="right"/>
              <w:rPr>
                <w:sz w:val="20"/>
              </w:rPr>
            </w:pPr>
            <w:r>
              <w:rPr>
                <w:sz w:val="20"/>
                <w:u w:val="none"/>
              </w:rPr>
              <w:t>$998</w:t>
            </w:r>
          </w:p>
        </w:tc>
        <w:tc>
          <w:tcPr>
            <w:tcW w:w="603" w:type="dxa"/>
          </w:tcPr>
          <w:p w:rsidR="00BF2526" w:rsidRPr="00DC4C9F" w:rsidRDefault="00BF2526" w:rsidP="00BF2526">
            <w:pPr>
              <w:pStyle w:val="xl24"/>
              <w:spacing w:before="0" w:after="0"/>
              <w:jc w:val="right"/>
              <w:rPr>
                <w:sz w:val="20"/>
              </w:rPr>
            </w:pPr>
          </w:p>
        </w:tc>
        <w:tc>
          <w:tcPr>
            <w:tcW w:w="607" w:type="dxa"/>
          </w:tcPr>
          <w:p w:rsidR="00BF2526" w:rsidRPr="00DC4C9F" w:rsidRDefault="00BF2526" w:rsidP="00BF2526">
            <w:pPr>
              <w:pStyle w:val="xl24"/>
              <w:spacing w:before="0" w:after="0"/>
              <w:jc w:val="right"/>
              <w:rPr>
                <w:sz w:val="20"/>
              </w:rPr>
            </w:pPr>
          </w:p>
        </w:tc>
        <w:tc>
          <w:tcPr>
            <w:tcW w:w="672" w:type="dxa"/>
          </w:tcPr>
          <w:p w:rsidR="00BF2526" w:rsidRPr="00DC4C9F" w:rsidRDefault="00BF2526" w:rsidP="00BF2526">
            <w:pPr>
              <w:pStyle w:val="xl24"/>
              <w:spacing w:before="0" w:after="0"/>
              <w:jc w:val="right"/>
              <w:rPr>
                <w:sz w:val="20"/>
              </w:rPr>
            </w:pPr>
          </w:p>
        </w:tc>
        <w:tc>
          <w:tcPr>
            <w:tcW w:w="1358" w:type="dxa"/>
          </w:tcPr>
          <w:p w:rsidR="00BF2526" w:rsidRPr="00DC4C9F" w:rsidRDefault="00DB139C" w:rsidP="000F48E1">
            <w:pPr>
              <w:pStyle w:val="xl24"/>
              <w:spacing w:before="0" w:after="0"/>
              <w:jc w:val="right"/>
              <w:rPr>
                <w:sz w:val="20"/>
              </w:rPr>
            </w:pPr>
            <w:r>
              <w:rPr>
                <w:sz w:val="20"/>
                <w:u w:val="none"/>
              </w:rPr>
              <w:t>$</w:t>
            </w:r>
            <w:r w:rsidR="000F48E1">
              <w:rPr>
                <w:sz w:val="20"/>
                <w:u w:val="none"/>
              </w:rPr>
              <w:t>1,000</w:t>
            </w:r>
          </w:p>
        </w:tc>
        <w:tc>
          <w:tcPr>
            <w:tcW w:w="590" w:type="dxa"/>
          </w:tcPr>
          <w:p w:rsidR="00BF2526" w:rsidRPr="00DC4C9F" w:rsidRDefault="00BF2526" w:rsidP="00BF2526">
            <w:pPr>
              <w:pStyle w:val="xl24"/>
              <w:spacing w:before="0" w:after="0"/>
              <w:jc w:val="right"/>
              <w:rPr>
                <w:sz w:val="20"/>
              </w:rPr>
            </w:pPr>
          </w:p>
        </w:tc>
        <w:tc>
          <w:tcPr>
            <w:tcW w:w="607" w:type="dxa"/>
          </w:tcPr>
          <w:p w:rsidR="00BF2526" w:rsidRPr="00DC4C9F" w:rsidRDefault="00BF2526" w:rsidP="00BF2526">
            <w:pPr>
              <w:pStyle w:val="xl24"/>
              <w:spacing w:before="0" w:after="0"/>
              <w:jc w:val="right"/>
              <w:rPr>
                <w:sz w:val="20"/>
              </w:rPr>
            </w:pPr>
          </w:p>
        </w:tc>
        <w:tc>
          <w:tcPr>
            <w:tcW w:w="672" w:type="dxa"/>
          </w:tcPr>
          <w:p w:rsidR="00BF2526" w:rsidRPr="00DC4C9F" w:rsidRDefault="00BF2526" w:rsidP="00BF2526">
            <w:pPr>
              <w:pStyle w:val="xl24"/>
              <w:spacing w:before="0" w:after="0"/>
              <w:jc w:val="right"/>
              <w:rPr>
                <w:sz w:val="20"/>
              </w:rPr>
            </w:pPr>
          </w:p>
        </w:tc>
        <w:tc>
          <w:tcPr>
            <w:tcW w:w="1535" w:type="dxa"/>
          </w:tcPr>
          <w:p w:rsidR="00BF2526" w:rsidRPr="00DC4C9F" w:rsidRDefault="00DB139C" w:rsidP="009D6895">
            <w:pPr>
              <w:pStyle w:val="xl24"/>
              <w:spacing w:before="0" w:after="0"/>
              <w:jc w:val="right"/>
              <w:rPr>
                <w:sz w:val="20"/>
              </w:rPr>
            </w:pPr>
            <w:r>
              <w:rPr>
                <w:sz w:val="20"/>
                <w:u w:val="none"/>
              </w:rPr>
              <w:t>$</w:t>
            </w:r>
            <w:r w:rsidR="009D6895">
              <w:rPr>
                <w:sz w:val="20"/>
                <w:u w:val="none"/>
              </w:rPr>
              <w:t>1,0</w:t>
            </w:r>
            <w:r w:rsidR="000F48E1">
              <w:rPr>
                <w:sz w:val="20"/>
                <w:u w:val="none"/>
              </w:rPr>
              <w:t>00</w:t>
            </w:r>
          </w:p>
        </w:tc>
      </w:tr>
    </w:tbl>
    <w:p w:rsidR="00BF2526" w:rsidRPr="00DC4C9F" w:rsidRDefault="00BF2526" w:rsidP="00BF2526">
      <w:pPr>
        <w:pStyle w:val="xl24"/>
        <w:spacing w:before="0" w:after="0"/>
      </w:pPr>
    </w:p>
    <w:p w:rsidR="00BF2526" w:rsidRPr="00DC4C9F" w:rsidRDefault="00BF2526" w:rsidP="00BF2526">
      <w:pPr>
        <w:pStyle w:val="BodyText"/>
      </w:pPr>
      <w:r w:rsidRPr="00DC4C9F">
        <w:rPr>
          <w:u w:val="single"/>
        </w:rPr>
        <w:t>Personnel Reduction Cost Summary</w:t>
      </w:r>
    </w:p>
    <w:p w:rsidR="00BF2526" w:rsidRDefault="00BF2526" w:rsidP="00BF2526">
      <w:pPr>
        <w:rPr>
          <w:sz w:val="20"/>
        </w:rPr>
      </w:pPr>
    </w:p>
    <w:p w:rsidR="00BF2526" w:rsidRDefault="00BF2526" w:rsidP="00BF2526">
      <w:pPr>
        <w:rPr>
          <w:sz w:val="20"/>
        </w:rPr>
      </w:pPr>
      <w:r>
        <w:rPr>
          <w:sz w:val="20"/>
        </w:rPr>
        <w:t>Not Applicable</w:t>
      </w:r>
    </w:p>
    <w:p w:rsidR="00BF2526" w:rsidRPr="00DC4C9F" w:rsidRDefault="00BF2526" w:rsidP="00BF2526">
      <w:pPr>
        <w:rPr>
          <w:sz w:val="20"/>
        </w:rPr>
      </w:pPr>
    </w:p>
    <w:p w:rsidR="00BF2526" w:rsidRPr="00DC4C9F" w:rsidRDefault="00BF2526" w:rsidP="00BF2526">
      <w:pPr>
        <w:pStyle w:val="xl24"/>
        <w:spacing w:before="0" w:after="0"/>
      </w:pPr>
      <w:r w:rsidRPr="00DC4C9F">
        <w:t>Non-Personnel Reduction Cost Summary</w:t>
      </w:r>
    </w:p>
    <w:p w:rsidR="00BF2526" w:rsidRDefault="00BF2526" w:rsidP="00BF2526">
      <w:pPr>
        <w:rPr>
          <w:sz w:val="20"/>
        </w:rPr>
      </w:pPr>
    </w:p>
    <w:p w:rsidR="00BF2526" w:rsidRDefault="00BF2526" w:rsidP="00BF2526">
      <w:pPr>
        <w:rPr>
          <w:sz w:val="20"/>
        </w:rPr>
      </w:pPr>
      <w:r>
        <w:rPr>
          <w:sz w:val="20"/>
        </w:rPr>
        <w:t>Not Applicable</w:t>
      </w:r>
    </w:p>
    <w:p w:rsidR="00BF2526" w:rsidRPr="00DC4C9F" w:rsidRDefault="00BF2526" w:rsidP="00BF2526">
      <w:pPr>
        <w:rPr>
          <w:sz w:val="20"/>
        </w:rPr>
      </w:pPr>
    </w:p>
    <w:p w:rsidR="00BF2526" w:rsidRPr="00DC4C9F" w:rsidRDefault="00BF2526" w:rsidP="00BF2526">
      <w:pPr>
        <w:pStyle w:val="xl24"/>
        <w:spacing w:before="0" w:after="0"/>
        <w:rPr>
          <w:szCs w:val="24"/>
        </w:rPr>
      </w:pPr>
      <w:r w:rsidRPr="00DC4C9F">
        <w:rPr>
          <w:szCs w:val="24"/>
        </w:rPr>
        <w:t>Total Request for this Item</w:t>
      </w:r>
    </w:p>
    <w:p w:rsidR="00BF2526" w:rsidRPr="00DC4C9F" w:rsidRDefault="00BF2526" w:rsidP="00BF2526">
      <w:pPr>
        <w:pStyle w:val="xl24"/>
        <w:spacing w:before="0" w:after="0"/>
        <w:rPr>
          <w:szCs w:val="24"/>
        </w:rPr>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754"/>
        <w:gridCol w:w="940"/>
        <w:gridCol w:w="758"/>
        <w:gridCol w:w="1253"/>
        <w:gridCol w:w="1390"/>
        <w:gridCol w:w="1310"/>
      </w:tblGrid>
      <w:tr w:rsidR="004B1D02" w:rsidRPr="00DC4C9F" w:rsidTr="004B1D02">
        <w:trPr>
          <w:trHeight w:val="658"/>
        </w:trPr>
        <w:tc>
          <w:tcPr>
            <w:tcW w:w="1443" w:type="dxa"/>
            <w:shd w:val="clear" w:color="auto" w:fill="E6E6E6"/>
          </w:tcPr>
          <w:p w:rsidR="004B1D02" w:rsidRPr="00DC4C9F" w:rsidRDefault="004B1D02" w:rsidP="00BF2526">
            <w:pPr>
              <w:rPr>
                <w:sz w:val="20"/>
              </w:rPr>
            </w:pPr>
          </w:p>
        </w:tc>
        <w:tc>
          <w:tcPr>
            <w:tcW w:w="754" w:type="dxa"/>
            <w:vAlign w:val="center"/>
          </w:tcPr>
          <w:p w:rsidR="004B1D02" w:rsidRPr="00DC4C9F" w:rsidRDefault="004B1D02" w:rsidP="00BF2526">
            <w:pPr>
              <w:jc w:val="center"/>
              <w:rPr>
                <w:sz w:val="20"/>
              </w:rPr>
            </w:pPr>
            <w:r w:rsidRPr="00DC4C9F">
              <w:rPr>
                <w:sz w:val="20"/>
              </w:rPr>
              <w:t>Pos</w:t>
            </w:r>
          </w:p>
        </w:tc>
        <w:tc>
          <w:tcPr>
            <w:tcW w:w="940" w:type="dxa"/>
            <w:vAlign w:val="center"/>
          </w:tcPr>
          <w:p w:rsidR="004B1D02" w:rsidRPr="00DC4C9F" w:rsidRDefault="004B1D02" w:rsidP="00BF2526">
            <w:pPr>
              <w:jc w:val="center"/>
              <w:rPr>
                <w:sz w:val="20"/>
              </w:rPr>
            </w:pPr>
          </w:p>
          <w:p w:rsidR="004B1D02" w:rsidRPr="00DC4C9F" w:rsidRDefault="004B1D02" w:rsidP="00BF2526">
            <w:pPr>
              <w:jc w:val="center"/>
              <w:rPr>
                <w:sz w:val="20"/>
              </w:rPr>
            </w:pPr>
            <w:r w:rsidRPr="00DC4C9F">
              <w:rPr>
                <w:sz w:val="20"/>
              </w:rPr>
              <w:t>Agt/Atty</w:t>
            </w:r>
          </w:p>
          <w:p w:rsidR="004B1D02" w:rsidRPr="00DC4C9F" w:rsidRDefault="004B1D02" w:rsidP="00BF2526">
            <w:pPr>
              <w:jc w:val="center"/>
              <w:rPr>
                <w:sz w:val="20"/>
              </w:rPr>
            </w:pPr>
          </w:p>
        </w:tc>
        <w:tc>
          <w:tcPr>
            <w:tcW w:w="758" w:type="dxa"/>
            <w:vAlign w:val="center"/>
          </w:tcPr>
          <w:p w:rsidR="004B1D02" w:rsidRPr="00DC4C9F" w:rsidRDefault="004B1D02" w:rsidP="00BF2526">
            <w:pPr>
              <w:jc w:val="center"/>
              <w:rPr>
                <w:sz w:val="20"/>
              </w:rPr>
            </w:pPr>
            <w:r w:rsidRPr="00DC4C9F">
              <w:rPr>
                <w:sz w:val="20"/>
              </w:rPr>
              <w:t>FTE</w:t>
            </w:r>
          </w:p>
        </w:tc>
        <w:tc>
          <w:tcPr>
            <w:tcW w:w="1253" w:type="dxa"/>
            <w:vAlign w:val="center"/>
          </w:tcPr>
          <w:p w:rsidR="004B1D02" w:rsidRPr="00DC4C9F" w:rsidRDefault="004B1D02" w:rsidP="00BF2526">
            <w:pPr>
              <w:jc w:val="center"/>
              <w:rPr>
                <w:sz w:val="20"/>
              </w:rPr>
            </w:pPr>
            <w:r w:rsidRPr="00DC4C9F">
              <w:rPr>
                <w:sz w:val="20"/>
              </w:rPr>
              <w:t>Personnel</w:t>
            </w:r>
          </w:p>
          <w:p w:rsidR="004B1D02" w:rsidRPr="00DC4C9F" w:rsidRDefault="004B1D02" w:rsidP="00BF2526">
            <w:pPr>
              <w:jc w:val="center"/>
              <w:rPr>
                <w:sz w:val="20"/>
              </w:rPr>
            </w:pPr>
            <w:r w:rsidRPr="00DC4C9F">
              <w:rPr>
                <w:sz w:val="20"/>
              </w:rPr>
              <w:t>($000)</w:t>
            </w:r>
          </w:p>
        </w:tc>
        <w:tc>
          <w:tcPr>
            <w:tcW w:w="1390" w:type="dxa"/>
            <w:vAlign w:val="center"/>
          </w:tcPr>
          <w:p w:rsidR="004B1D02" w:rsidRPr="00DC4C9F" w:rsidRDefault="004B1D02" w:rsidP="00BF2526">
            <w:pPr>
              <w:jc w:val="center"/>
              <w:rPr>
                <w:sz w:val="20"/>
              </w:rPr>
            </w:pPr>
            <w:r w:rsidRPr="00DC4C9F">
              <w:rPr>
                <w:sz w:val="20"/>
              </w:rPr>
              <w:t>Non-Personnel</w:t>
            </w:r>
          </w:p>
          <w:p w:rsidR="004B1D02" w:rsidRPr="00DC4C9F" w:rsidRDefault="004B1D02" w:rsidP="00BF2526">
            <w:pPr>
              <w:jc w:val="center"/>
              <w:rPr>
                <w:sz w:val="20"/>
              </w:rPr>
            </w:pPr>
            <w:r w:rsidRPr="00DC4C9F">
              <w:rPr>
                <w:sz w:val="20"/>
              </w:rPr>
              <w:t>($000)</w:t>
            </w:r>
          </w:p>
        </w:tc>
        <w:tc>
          <w:tcPr>
            <w:tcW w:w="1310" w:type="dxa"/>
            <w:vAlign w:val="center"/>
          </w:tcPr>
          <w:p w:rsidR="004B1D02" w:rsidRPr="00DC4C9F" w:rsidRDefault="004B1D02" w:rsidP="00BF2526">
            <w:pPr>
              <w:jc w:val="center"/>
              <w:rPr>
                <w:sz w:val="20"/>
              </w:rPr>
            </w:pPr>
            <w:r w:rsidRPr="00DC4C9F">
              <w:rPr>
                <w:sz w:val="20"/>
              </w:rPr>
              <w:t>Total</w:t>
            </w:r>
          </w:p>
          <w:p w:rsidR="004B1D02" w:rsidRPr="00DC4C9F" w:rsidRDefault="004B1D02" w:rsidP="00BF2526">
            <w:pPr>
              <w:jc w:val="center"/>
              <w:rPr>
                <w:sz w:val="20"/>
              </w:rPr>
            </w:pPr>
            <w:r w:rsidRPr="00DC4C9F">
              <w:rPr>
                <w:sz w:val="20"/>
              </w:rPr>
              <w:t>($000)</w:t>
            </w:r>
          </w:p>
        </w:tc>
      </w:tr>
      <w:tr w:rsidR="004B1D02" w:rsidRPr="00DC4C9F" w:rsidTr="004B1D02">
        <w:trPr>
          <w:trHeight w:val="215"/>
        </w:trPr>
        <w:tc>
          <w:tcPr>
            <w:tcW w:w="1443" w:type="dxa"/>
          </w:tcPr>
          <w:p w:rsidR="004B1D02" w:rsidRPr="00DC4C9F" w:rsidRDefault="004B1D02" w:rsidP="00BF2526">
            <w:pPr>
              <w:rPr>
                <w:sz w:val="20"/>
              </w:rPr>
            </w:pPr>
            <w:r w:rsidRPr="00DC4C9F">
              <w:rPr>
                <w:sz w:val="20"/>
              </w:rPr>
              <w:t>Current Services</w:t>
            </w:r>
          </w:p>
        </w:tc>
        <w:tc>
          <w:tcPr>
            <w:tcW w:w="754" w:type="dxa"/>
            <w:vAlign w:val="center"/>
          </w:tcPr>
          <w:p w:rsidR="004B1D02" w:rsidRPr="00DC4C9F" w:rsidRDefault="004B1D02" w:rsidP="00BF2526">
            <w:pPr>
              <w:jc w:val="right"/>
              <w:rPr>
                <w:sz w:val="20"/>
              </w:rPr>
            </w:pPr>
          </w:p>
        </w:tc>
        <w:tc>
          <w:tcPr>
            <w:tcW w:w="940" w:type="dxa"/>
          </w:tcPr>
          <w:p w:rsidR="004B1D02" w:rsidRPr="00DC4C9F" w:rsidRDefault="004B1D02" w:rsidP="00BF2526">
            <w:pPr>
              <w:jc w:val="right"/>
              <w:rPr>
                <w:sz w:val="20"/>
              </w:rPr>
            </w:pPr>
          </w:p>
        </w:tc>
        <w:tc>
          <w:tcPr>
            <w:tcW w:w="758" w:type="dxa"/>
            <w:vAlign w:val="center"/>
          </w:tcPr>
          <w:p w:rsidR="004B1D02" w:rsidRPr="00DC4C9F" w:rsidRDefault="004B1D02" w:rsidP="00BF2526">
            <w:pPr>
              <w:jc w:val="right"/>
              <w:rPr>
                <w:sz w:val="20"/>
              </w:rPr>
            </w:pPr>
          </w:p>
        </w:tc>
        <w:tc>
          <w:tcPr>
            <w:tcW w:w="1253" w:type="dxa"/>
            <w:vAlign w:val="center"/>
          </w:tcPr>
          <w:p w:rsidR="004B1D02" w:rsidRPr="00DC4C9F" w:rsidRDefault="004B1D02" w:rsidP="00BF2526">
            <w:pPr>
              <w:jc w:val="right"/>
              <w:rPr>
                <w:sz w:val="20"/>
              </w:rPr>
            </w:pPr>
          </w:p>
        </w:tc>
        <w:tc>
          <w:tcPr>
            <w:tcW w:w="1390" w:type="dxa"/>
            <w:vAlign w:val="center"/>
          </w:tcPr>
          <w:p w:rsidR="004B1D02" w:rsidRPr="00DC4C9F" w:rsidRDefault="004B1D02" w:rsidP="000F48E1">
            <w:pPr>
              <w:jc w:val="center"/>
              <w:rPr>
                <w:sz w:val="20"/>
              </w:rPr>
            </w:pPr>
            <w:r>
              <w:rPr>
                <w:sz w:val="20"/>
              </w:rPr>
              <w:t>$</w:t>
            </w:r>
            <w:r w:rsidR="000F48E1">
              <w:rPr>
                <w:sz w:val="20"/>
              </w:rPr>
              <w:t>1,000</w:t>
            </w:r>
          </w:p>
        </w:tc>
        <w:tc>
          <w:tcPr>
            <w:tcW w:w="1310" w:type="dxa"/>
            <w:vAlign w:val="center"/>
          </w:tcPr>
          <w:p w:rsidR="004B1D02" w:rsidRPr="00DC4C9F" w:rsidRDefault="000F48E1" w:rsidP="00A6539C">
            <w:pPr>
              <w:jc w:val="center"/>
              <w:rPr>
                <w:sz w:val="20"/>
              </w:rPr>
            </w:pPr>
            <w:r>
              <w:rPr>
                <w:sz w:val="20"/>
              </w:rPr>
              <w:t>$1,000</w:t>
            </w:r>
          </w:p>
        </w:tc>
      </w:tr>
      <w:tr w:rsidR="004B1D02" w:rsidRPr="00DC4C9F" w:rsidTr="004B1D02">
        <w:trPr>
          <w:trHeight w:val="215"/>
        </w:trPr>
        <w:tc>
          <w:tcPr>
            <w:tcW w:w="1443" w:type="dxa"/>
          </w:tcPr>
          <w:p w:rsidR="004B1D02" w:rsidRPr="00DC4C9F" w:rsidRDefault="004B1D02" w:rsidP="00BF2526">
            <w:pPr>
              <w:rPr>
                <w:sz w:val="20"/>
              </w:rPr>
            </w:pPr>
            <w:r>
              <w:rPr>
                <w:sz w:val="20"/>
              </w:rPr>
              <w:t>Decreases</w:t>
            </w:r>
          </w:p>
        </w:tc>
        <w:tc>
          <w:tcPr>
            <w:tcW w:w="754" w:type="dxa"/>
            <w:vAlign w:val="center"/>
          </w:tcPr>
          <w:p w:rsidR="004B1D02" w:rsidRPr="00DC4C9F" w:rsidRDefault="004B1D02" w:rsidP="00BF2526">
            <w:pPr>
              <w:jc w:val="right"/>
              <w:rPr>
                <w:sz w:val="20"/>
              </w:rPr>
            </w:pPr>
          </w:p>
        </w:tc>
        <w:tc>
          <w:tcPr>
            <w:tcW w:w="940" w:type="dxa"/>
          </w:tcPr>
          <w:p w:rsidR="004B1D02" w:rsidRPr="00DC4C9F" w:rsidRDefault="004B1D02" w:rsidP="00BF2526">
            <w:pPr>
              <w:jc w:val="right"/>
              <w:rPr>
                <w:sz w:val="20"/>
              </w:rPr>
            </w:pPr>
          </w:p>
        </w:tc>
        <w:tc>
          <w:tcPr>
            <w:tcW w:w="758" w:type="dxa"/>
            <w:vAlign w:val="center"/>
          </w:tcPr>
          <w:p w:rsidR="004B1D02" w:rsidRPr="00DC4C9F" w:rsidRDefault="004B1D02" w:rsidP="00BF2526">
            <w:pPr>
              <w:jc w:val="right"/>
              <w:rPr>
                <w:sz w:val="20"/>
              </w:rPr>
            </w:pPr>
          </w:p>
        </w:tc>
        <w:tc>
          <w:tcPr>
            <w:tcW w:w="1253" w:type="dxa"/>
            <w:vAlign w:val="center"/>
          </w:tcPr>
          <w:p w:rsidR="004B1D02" w:rsidRPr="00DC4C9F" w:rsidRDefault="004B1D02" w:rsidP="00BF2526">
            <w:pPr>
              <w:jc w:val="right"/>
              <w:rPr>
                <w:sz w:val="20"/>
              </w:rPr>
            </w:pPr>
          </w:p>
        </w:tc>
        <w:tc>
          <w:tcPr>
            <w:tcW w:w="1390" w:type="dxa"/>
            <w:vAlign w:val="center"/>
          </w:tcPr>
          <w:p w:rsidR="004B1D02" w:rsidRPr="00DC4C9F" w:rsidRDefault="004B1D02" w:rsidP="000F48E1">
            <w:pPr>
              <w:jc w:val="center"/>
              <w:rPr>
                <w:sz w:val="20"/>
              </w:rPr>
            </w:pPr>
            <w:r>
              <w:rPr>
                <w:sz w:val="20"/>
              </w:rPr>
              <w:t>(</w:t>
            </w:r>
            <w:r w:rsidR="000F48E1">
              <w:rPr>
                <w:sz w:val="20"/>
              </w:rPr>
              <w:t>500</w:t>
            </w:r>
            <w:r>
              <w:rPr>
                <w:sz w:val="20"/>
              </w:rPr>
              <w:t>)</w:t>
            </w:r>
          </w:p>
        </w:tc>
        <w:tc>
          <w:tcPr>
            <w:tcW w:w="1310" w:type="dxa"/>
            <w:vAlign w:val="center"/>
          </w:tcPr>
          <w:p w:rsidR="004B1D02" w:rsidRPr="00DC4C9F" w:rsidRDefault="004B1D02" w:rsidP="000F48E1">
            <w:pPr>
              <w:jc w:val="center"/>
              <w:rPr>
                <w:sz w:val="20"/>
              </w:rPr>
            </w:pPr>
            <w:r>
              <w:rPr>
                <w:sz w:val="20"/>
              </w:rPr>
              <w:t>(</w:t>
            </w:r>
            <w:r w:rsidR="000F48E1">
              <w:rPr>
                <w:sz w:val="20"/>
              </w:rPr>
              <w:t>500</w:t>
            </w:r>
            <w:r>
              <w:rPr>
                <w:sz w:val="20"/>
              </w:rPr>
              <w:t>)</w:t>
            </w:r>
          </w:p>
        </w:tc>
      </w:tr>
      <w:tr w:rsidR="004B1D02" w:rsidRPr="00DC4C9F" w:rsidTr="004B1D02">
        <w:trPr>
          <w:trHeight w:val="215"/>
        </w:trPr>
        <w:tc>
          <w:tcPr>
            <w:tcW w:w="1443" w:type="dxa"/>
          </w:tcPr>
          <w:p w:rsidR="004B1D02" w:rsidRPr="00DC4C9F" w:rsidRDefault="004B1D02" w:rsidP="00BF2526">
            <w:pPr>
              <w:rPr>
                <w:sz w:val="20"/>
              </w:rPr>
            </w:pPr>
            <w:r w:rsidRPr="00DC4C9F">
              <w:rPr>
                <w:sz w:val="20"/>
              </w:rPr>
              <w:t>Grand Total</w:t>
            </w:r>
          </w:p>
        </w:tc>
        <w:tc>
          <w:tcPr>
            <w:tcW w:w="754" w:type="dxa"/>
            <w:vAlign w:val="center"/>
          </w:tcPr>
          <w:p w:rsidR="004B1D02" w:rsidRPr="00DC4C9F" w:rsidRDefault="004B1D02" w:rsidP="00BF2526">
            <w:pPr>
              <w:jc w:val="right"/>
              <w:rPr>
                <w:sz w:val="20"/>
              </w:rPr>
            </w:pPr>
          </w:p>
        </w:tc>
        <w:tc>
          <w:tcPr>
            <w:tcW w:w="940" w:type="dxa"/>
          </w:tcPr>
          <w:p w:rsidR="004B1D02" w:rsidRPr="00DC4C9F" w:rsidRDefault="004B1D02" w:rsidP="00BF2526">
            <w:pPr>
              <w:jc w:val="right"/>
              <w:rPr>
                <w:sz w:val="20"/>
              </w:rPr>
            </w:pPr>
          </w:p>
        </w:tc>
        <w:tc>
          <w:tcPr>
            <w:tcW w:w="758" w:type="dxa"/>
            <w:vAlign w:val="center"/>
          </w:tcPr>
          <w:p w:rsidR="004B1D02" w:rsidRPr="00DC4C9F" w:rsidRDefault="004B1D02" w:rsidP="00BF2526">
            <w:pPr>
              <w:jc w:val="right"/>
              <w:rPr>
                <w:sz w:val="20"/>
              </w:rPr>
            </w:pPr>
          </w:p>
        </w:tc>
        <w:tc>
          <w:tcPr>
            <w:tcW w:w="1253" w:type="dxa"/>
            <w:vAlign w:val="center"/>
          </w:tcPr>
          <w:p w:rsidR="004B1D02" w:rsidRPr="00DC4C9F" w:rsidRDefault="004B1D02" w:rsidP="00BF2526">
            <w:pPr>
              <w:jc w:val="right"/>
              <w:rPr>
                <w:sz w:val="20"/>
              </w:rPr>
            </w:pPr>
          </w:p>
        </w:tc>
        <w:tc>
          <w:tcPr>
            <w:tcW w:w="1390" w:type="dxa"/>
            <w:vAlign w:val="center"/>
          </w:tcPr>
          <w:p w:rsidR="004B1D02" w:rsidRPr="00DC4C9F" w:rsidRDefault="004B1D02" w:rsidP="00A6539C">
            <w:pPr>
              <w:jc w:val="center"/>
              <w:rPr>
                <w:sz w:val="20"/>
              </w:rPr>
            </w:pPr>
            <w:r>
              <w:rPr>
                <w:sz w:val="20"/>
              </w:rPr>
              <w:t>$500</w:t>
            </w:r>
          </w:p>
        </w:tc>
        <w:tc>
          <w:tcPr>
            <w:tcW w:w="1310" w:type="dxa"/>
            <w:vAlign w:val="center"/>
          </w:tcPr>
          <w:p w:rsidR="004B1D02" w:rsidRPr="00DC4C9F" w:rsidRDefault="004B1D02" w:rsidP="00A6539C">
            <w:pPr>
              <w:jc w:val="center"/>
              <w:rPr>
                <w:sz w:val="20"/>
              </w:rPr>
            </w:pPr>
            <w:r>
              <w:rPr>
                <w:sz w:val="20"/>
              </w:rPr>
              <w:t>$500</w:t>
            </w:r>
          </w:p>
        </w:tc>
      </w:tr>
    </w:tbl>
    <w:p w:rsidR="00612F80" w:rsidRDefault="00612F80" w:rsidP="002004EB">
      <w:pPr>
        <w:tabs>
          <w:tab w:val="left" w:pos="3420"/>
          <w:tab w:val="right" w:pos="8640"/>
        </w:tabs>
        <w:autoSpaceDE w:val="0"/>
        <w:autoSpaceDN w:val="0"/>
        <w:adjustRightInd w:val="0"/>
        <w:ind w:left="3420" w:hanging="3420"/>
        <w:rPr>
          <w:b/>
          <w:bCs/>
        </w:rPr>
      </w:pPr>
    </w:p>
    <w:p w:rsidR="00BF2526" w:rsidRPr="009C0A84" w:rsidRDefault="00BF2526" w:rsidP="00BF2526">
      <w:pPr>
        <w:pStyle w:val="BodyText"/>
        <w:ind w:right="-540"/>
        <w:rPr>
          <w:rFonts w:cs="Arial"/>
          <w:b/>
          <w:sz w:val="28"/>
          <w:szCs w:val="28"/>
          <w:highlight w:val="yellow"/>
        </w:rPr>
      </w:pPr>
    </w:p>
    <w:bookmarkEnd w:id="0"/>
    <w:bookmarkEnd w:id="1"/>
    <w:p w:rsidR="00192D00" w:rsidRDefault="00192D00" w:rsidP="002D56F5">
      <w:pPr>
        <w:pStyle w:val="Footer"/>
        <w:tabs>
          <w:tab w:val="clear" w:pos="8640"/>
          <w:tab w:val="left" w:leader="dot" w:pos="4320"/>
        </w:tabs>
        <w:ind w:right="-540"/>
        <w:rPr>
          <w:rFonts w:ascii="Times New Roman" w:hAnsi="Times New Roman"/>
          <w:b/>
          <w:sz w:val="28"/>
          <w:szCs w:val="28"/>
        </w:rPr>
      </w:pPr>
    </w:p>
    <w:p w:rsidR="00612F80" w:rsidRPr="00D172B9" w:rsidRDefault="00612F80" w:rsidP="002D56F5">
      <w:pPr>
        <w:pStyle w:val="Footer"/>
        <w:tabs>
          <w:tab w:val="clear" w:pos="8640"/>
          <w:tab w:val="left" w:leader="dot" w:pos="4320"/>
        </w:tabs>
        <w:ind w:right="-540"/>
        <w:rPr>
          <w:rFonts w:ascii="Times New Roman" w:hAnsi="Times New Roman"/>
          <w:b/>
          <w:sz w:val="28"/>
          <w:szCs w:val="28"/>
        </w:rPr>
      </w:pPr>
      <w:r w:rsidRPr="00D172B9">
        <w:rPr>
          <w:rFonts w:ascii="Times New Roman" w:hAnsi="Times New Roman"/>
          <w:b/>
          <w:sz w:val="28"/>
          <w:szCs w:val="28"/>
        </w:rPr>
        <w:t>VI</w:t>
      </w:r>
      <w:r>
        <w:rPr>
          <w:rFonts w:ascii="Times New Roman" w:hAnsi="Times New Roman"/>
          <w:b/>
          <w:sz w:val="28"/>
          <w:szCs w:val="28"/>
        </w:rPr>
        <w:t>I</w:t>
      </w:r>
      <w:r w:rsidRPr="00D172B9">
        <w:rPr>
          <w:rFonts w:ascii="Times New Roman" w:hAnsi="Times New Roman"/>
          <w:b/>
          <w:sz w:val="28"/>
          <w:szCs w:val="28"/>
        </w:rPr>
        <w:t>. EXHIBITS</w:t>
      </w:r>
    </w:p>
    <w:p w:rsidR="00612F80" w:rsidRDefault="00612F80" w:rsidP="002D56F5">
      <w:pPr>
        <w:ind w:right="-540"/>
      </w:pPr>
    </w:p>
    <w:p w:rsidR="00612F80" w:rsidRPr="00001237" w:rsidRDefault="00612F80" w:rsidP="002D56F5">
      <w:pPr>
        <w:ind w:right="-540"/>
        <w:rPr>
          <w:sz w:val="28"/>
          <w:szCs w:val="28"/>
        </w:rPr>
      </w:pPr>
      <w:r w:rsidRPr="00001237">
        <w:rPr>
          <w:sz w:val="28"/>
          <w:szCs w:val="28"/>
        </w:rPr>
        <w:t>Grant Exhibits</w:t>
      </w:r>
    </w:p>
    <w:p w:rsidR="00612F80" w:rsidRPr="00001237" w:rsidRDefault="00612F80" w:rsidP="002D56F5">
      <w:pPr>
        <w:ind w:right="-540"/>
        <w:rPr>
          <w:sz w:val="28"/>
          <w:szCs w:val="28"/>
        </w:rPr>
      </w:pPr>
      <w:r w:rsidRPr="00001237">
        <w:rPr>
          <w:sz w:val="28"/>
          <w:szCs w:val="28"/>
        </w:rPr>
        <w:t>Manage</w:t>
      </w:r>
      <w:r w:rsidR="009563C4">
        <w:rPr>
          <w:sz w:val="28"/>
          <w:szCs w:val="28"/>
        </w:rPr>
        <w:t>ment and Administration Exhibits</w:t>
      </w:r>
    </w:p>
    <w:sectPr w:rsidR="00612F80" w:rsidRPr="00001237" w:rsidSect="00130A5C">
      <w:headerReference w:type="even" r:id="rId21"/>
      <w:headerReference w:type="default" r:id="rId22"/>
      <w:headerReference w:type="first" r:id="rId23"/>
      <w:pgSz w:w="12240" w:h="15840" w:code="1"/>
      <w:pgMar w:top="1152" w:right="1440" w:bottom="1152"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F6A" w:rsidRDefault="00AF5F6A">
      <w:r>
        <w:separator/>
      </w:r>
    </w:p>
  </w:endnote>
  <w:endnote w:type="continuationSeparator" w:id="0">
    <w:p w:rsidR="00AF5F6A" w:rsidRDefault="00AF5F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F6A" w:rsidRDefault="00FD334A">
    <w:pPr>
      <w:pStyle w:val="Footer"/>
      <w:framePr w:wrap="around" w:vAnchor="text" w:hAnchor="margin" w:xAlign="center" w:y="1"/>
      <w:rPr>
        <w:rStyle w:val="PageNumber"/>
      </w:rPr>
    </w:pPr>
    <w:r>
      <w:rPr>
        <w:rStyle w:val="PageNumber"/>
      </w:rPr>
      <w:fldChar w:fldCharType="begin"/>
    </w:r>
    <w:r w:rsidR="00AF5F6A">
      <w:rPr>
        <w:rStyle w:val="PageNumber"/>
      </w:rPr>
      <w:instrText xml:space="preserve">PAGE  </w:instrText>
    </w:r>
    <w:r>
      <w:rPr>
        <w:rStyle w:val="PageNumber"/>
      </w:rPr>
      <w:fldChar w:fldCharType="end"/>
    </w:r>
  </w:p>
  <w:p w:rsidR="00AF5F6A" w:rsidRDefault="00AF5F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F6A" w:rsidRDefault="00FD334A">
    <w:pPr>
      <w:pStyle w:val="Footer"/>
      <w:framePr w:wrap="around" w:vAnchor="text" w:hAnchor="margin" w:xAlign="center" w:y="1"/>
      <w:rPr>
        <w:rStyle w:val="PageNumber"/>
      </w:rPr>
    </w:pPr>
    <w:r>
      <w:rPr>
        <w:rStyle w:val="PageNumber"/>
      </w:rPr>
      <w:fldChar w:fldCharType="begin"/>
    </w:r>
    <w:r w:rsidR="00AF5F6A">
      <w:rPr>
        <w:rStyle w:val="PageNumber"/>
      </w:rPr>
      <w:instrText xml:space="preserve">PAGE  </w:instrText>
    </w:r>
    <w:r>
      <w:rPr>
        <w:rStyle w:val="PageNumber"/>
      </w:rPr>
      <w:fldChar w:fldCharType="separate"/>
    </w:r>
    <w:r w:rsidR="009563C4">
      <w:rPr>
        <w:rStyle w:val="PageNumber"/>
        <w:noProof/>
      </w:rPr>
      <w:t>1</w:t>
    </w:r>
    <w:r>
      <w:rPr>
        <w:rStyle w:val="PageNumber"/>
      </w:rPr>
      <w:fldChar w:fldCharType="end"/>
    </w:r>
  </w:p>
  <w:p w:rsidR="00AF5F6A" w:rsidRDefault="00AF5F6A">
    <w:pPr>
      <w:pStyle w:val="Header"/>
      <w:jc w:val="center"/>
      <w:rPr>
        <w:rFonts w:ascii="Times New Roman" w:hAnsi="Times New Roman"/>
        <w:b/>
      </w:rPr>
    </w:pPr>
  </w:p>
  <w:p w:rsidR="00AF5F6A" w:rsidRDefault="00AF5F6A">
    <w:pPr>
      <w:pStyle w:val="Header"/>
      <w:jc w:val="center"/>
      <w:rPr>
        <w:rFonts w:ascii="Times New Roman" w:hAnsi="Times New Roman"/>
        <w:b/>
      </w:rPr>
    </w:pPr>
  </w:p>
  <w:p w:rsidR="00AF5F6A" w:rsidRDefault="00AF5F6A">
    <w:pPr>
      <w:pStyle w:val="Header"/>
    </w:pPr>
    <w:r>
      <w:rPr>
        <w:rFonts w:ascii="Arial" w:hAnsi="Arial" w:cs="Arial"/>
        <w:bCs/>
        <w:sz w:val="16"/>
      </w:rPr>
      <w:tab/>
    </w:r>
    <w:r>
      <w:rPr>
        <w:rFonts w:ascii="Arial" w:hAnsi="Arial" w:cs="Arial"/>
        <w:bCs/>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F6A" w:rsidRDefault="00AF5F6A">
      <w:r>
        <w:separator/>
      </w:r>
    </w:p>
  </w:footnote>
  <w:footnote w:type="continuationSeparator" w:id="0">
    <w:p w:rsidR="00AF5F6A" w:rsidRDefault="00AF5F6A">
      <w:r>
        <w:continuationSeparator/>
      </w:r>
    </w:p>
  </w:footnote>
  <w:footnote w:id="1">
    <w:p w:rsidR="00AF5F6A" w:rsidRDefault="00AF5F6A" w:rsidP="0015789F">
      <w:pPr>
        <w:pStyle w:val="FootnoteText"/>
      </w:pPr>
      <w:r>
        <w:rPr>
          <w:rStyle w:val="FootnoteReference"/>
        </w:rPr>
        <w:footnoteRef/>
      </w:r>
      <w:r>
        <w:t xml:space="preserve"> This does not include 2,430 </w:t>
      </w:r>
      <w:r w:rsidRPr="00013155">
        <w:t xml:space="preserve">families who were fully and partially served by Safe Havens grantees, </w:t>
      </w:r>
      <w:r>
        <w:t>4,387</w:t>
      </w:r>
      <w:r w:rsidRPr="0027215F">
        <w:t xml:space="preserve"> </w:t>
      </w:r>
      <w:r>
        <w:t xml:space="preserve">children and 69 </w:t>
      </w:r>
      <w:r w:rsidRPr="00013155">
        <w:t>dependents who were fully and partially served by Tran</w:t>
      </w:r>
      <w:r>
        <w:t>sitional Housing grantees, and 39</w:t>
      </w:r>
      <w:r w:rsidRPr="0027215F">
        <w:t xml:space="preserve"> </w:t>
      </w:r>
      <w:r w:rsidRPr="00013155">
        <w:t>families who were fully and partially served by Tribal Government grantees.</w:t>
      </w:r>
    </w:p>
  </w:footnote>
  <w:footnote w:id="2">
    <w:p w:rsidR="00AF5F6A" w:rsidRDefault="00AF5F6A" w:rsidP="0015789F">
      <w:pPr>
        <w:pStyle w:val="FootnoteText"/>
      </w:pPr>
      <w:r>
        <w:rPr>
          <w:rStyle w:val="FootnoteReference"/>
        </w:rPr>
        <w:footnoteRef/>
      </w:r>
      <w:r>
        <w:t xml:space="preserve"> </w:t>
      </w:r>
      <w:r w:rsidRPr="00C16759">
        <w:t xml:space="preserve">Because victims were reported only once in each category of service provided, this number represents the minimum number of times services were provided to victims by discretionary </w:t>
      </w:r>
      <w:r>
        <w:t>grantees from January-June 2010.</w:t>
      </w:r>
    </w:p>
  </w:footnote>
  <w:footnote w:id="3">
    <w:p w:rsidR="00AF5F6A" w:rsidRDefault="00AF5F6A" w:rsidP="0015789F">
      <w:pPr>
        <w:pStyle w:val="FootnoteText"/>
      </w:pPr>
      <w:r>
        <w:rPr>
          <w:rStyle w:val="FootnoteReference"/>
        </w:rPr>
        <w:footnoteRef/>
      </w:r>
      <w:r>
        <w:t xml:space="preserve"> </w:t>
      </w:r>
      <w:r w:rsidRPr="00023081">
        <w:rPr>
          <w:sz w:val="18"/>
          <w:szCs w:val="18"/>
        </w:rPr>
        <w:t>Because victims were reported only once in each category or service provided, this number represents the minimum number of times services were provided to victims by STOP sub</w:t>
      </w:r>
      <w:r>
        <w:rPr>
          <w:sz w:val="18"/>
          <w:szCs w:val="18"/>
        </w:rPr>
        <w:t>-</w:t>
      </w:r>
      <w:r w:rsidRPr="00023081">
        <w:rPr>
          <w:sz w:val="18"/>
          <w:szCs w:val="18"/>
        </w:rPr>
        <w:t xml:space="preserve">grantees in </w:t>
      </w:r>
      <w:r>
        <w:rPr>
          <w:sz w:val="18"/>
          <w:szCs w:val="18"/>
        </w:rPr>
        <w:t>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F6A" w:rsidRDefault="00AF5F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F6A" w:rsidRDefault="00AF5F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F6A" w:rsidRDefault="00AF5F6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F6A" w:rsidRDefault="00AF5F6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F6A" w:rsidRDefault="00AF5F6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F6A" w:rsidRDefault="00AF5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E7ABA1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D922847A"/>
    <w:lvl w:ilvl="0">
      <w:numFmt w:val="bullet"/>
      <w:lvlText w:val="*"/>
      <w:lvlJc w:val="left"/>
    </w:lvl>
  </w:abstractNum>
  <w:abstractNum w:abstractNumId="2">
    <w:nsid w:val="005E4BB4"/>
    <w:multiLevelType w:val="hybridMultilevel"/>
    <w:tmpl w:val="EB1AF3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1E9098C"/>
    <w:multiLevelType w:val="hybridMultilevel"/>
    <w:tmpl w:val="D0A6F3E6"/>
    <w:lvl w:ilvl="0" w:tplc="2AA08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343966"/>
    <w:multiLevelType w:val="hybridMultilevel"/>
    <w:tmpl w:val="E124B0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D44F5"/>
    <w:multiLevelType w:val="hybridMultilevel"/>
    <w:tmpl w:val="D2FCAE40"/>
    <w:lvl w:ilvl="0" w:tplc="96F261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A66F56"/>
    <w:multiLevelType w:val="hybridMultilevel"/>
    <w:tmpl w:val="B1B85EFC"/>
    <w:lvl w:ilvl="0" w:tplc="168C7494">
      <w:start w:val="19"/>
      <w:numFmt w:val="decimal"/>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7F36800"/>
    <w:multiLevelType w:val="hybridMultilevel"/>
    <w:tmpl w:val="A13635C2"/>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7FB1B87"/>
    <w:multiLevelType w:val="hybridMultilevel"/>
    <w:tmpl w:val="2934168E"/>
    <w:lvl w:ilvl="0" w:tplc="1C4CF896">
      <w:start w:val="16"/>
      <w:numFmt w:val="decimal"/>
      <w:lvlText w:val="(%1)"/>
      <w:lvlJc w:val="left"/>
      <w:pPr>
        <w:tabs>
          <w:tab w:val="num" w:pos="1620"/>
        </w:tabs>
        <w:ind w:left="16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1F424BF3"/>
    <w:multiLevelType w:val="hybridMultilevel"/>
    <w:tmpl w:val="3A76383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27774BD"/>
    <w:multiLevelType w:val="hybridMultilevel"/>
    <w:tmpl w:val="8B7ED484"/>
    <w:lvl w:ilvl="0" w:tplc="35CEB07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A234FA"/>
    <w:multiLevelType w:val="hybridMultilevel"/>
    <w:tmpl w:val="D2826FB0"/>
    <w:lvl w:ilvl="0" w:tplc="2AA08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2126DA"/>
    <w:multiLevelType w:val="hybridMultilevel"/>
    <w:tmpl w:val="E74262A6"/>
    <w:lvl w:ilvl="0" w:tplc="2AA083F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97D18"/>
    <w:multiLevelType w:val="hybridMultilevel"/>
    <w:tmpl w:val="2A1CD8B0"/>
    <w:lvl w:ilvl="0" w:tplc="287A2C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B5124"/>
    <w:multiLevelType w:val="hybridMultilevel"/>
    <w:tmpl w:val="09066C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5475B8"/>
    <w:multiLevelType w:val="hybridMultilevel"/>
    <w:tmpl w:val="FC6C6340"/>
    <w:lvl w:ilvl="0" w:tplc="2AA083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68687C"/>
    <w:multiLevelType w:val="hybridMultilevel"/>
    <w:tmpl w:val="01D4900A"/>
    <w:lvl w:ilvl="0" w:tplc="5D96C7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149F6"/>
    <w:multiLevelType w:val="hybridMultilevel"/>
    <w:tmpl w:val="65F4C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FB1A5C"/>
    <w:multiLevelType w:val="hybridMultilevel"/>
    <w:tmpl w:val="11066910"/>
    <w:lvl w:ilvl="0" w:tplc="2AA083F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54D64C2D"/>
    <w:multiLevelType w:val="hybridMultilevel"/>
    <w:tmpl w:val="C85E6DA0"/>
    <w:lvl w:ilvl="0" w:tplc="EA788DF8">
      <w:start w:val="9"/>
      <w:numFmt w:val="decimal"/>
      <w:lvlText w:val="(%1)"/>
      <w:lvlJc w:val="left"/>
      <w:pPr>
        <w:tabs>
          <w:tab w:val="num" w:pos="1530"/>
        </w:tabs>
        <w:ind w:left="1530" w:hanging="720"/>
      </w:pPr>
      <w:rPr>
        <w:rFonts w:cs="Times New Roman" w:hint="default"/>
        <w:b/>
        <w:i w:val="0"/>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0">
    <w:nsid w:val="5AB75A7B"/>
    <w:multiLevelType w:val="multilevel"/>
    <w:tmpl w:val="E46C8040"/>
    <w:lvl w:ilvl="0">
      <w:start w:val="1"/>
      <w:numFmt w:val="upperLetter"/>
      <w:pStyle w:val="Heading6"/>
      <w:lvlText w:val="%1."/>
      <w:lvlJc w:val="left"/>
      <w:pPr>
        <w:tabs>
          <w:tab w:val="num" w:pos="1080"/>
        </w:tabs>
        <w:ind w:left="1080" w:hanging="36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1">
    <w:nsid w:val="5BAC12A7"/>
    <w:multiLevelType w:val="hybridMultilevel"/>
    <w:tmpl w:val="01D4900A"/>
    <w:lvl w:ilvl="0" w:tplc="5D96C7F8">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C2A72C4"/>
    <w:multiLevelType w:val="hybridMultilevel"/>
    <w:tmpl w:val="49025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2A5ABB"/>
    <w:multiLevelType w:val="hybridMultilevel"/>
    <w:tmpl w:val="26525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987BF1"/>
    <w:multiLevelType w:val="singleLevel"/>
    <w:tmpl w:val="577ECFA6"/>
    <w:lvl w:ilvl="0">
      <w:start w:val="7"/>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0"/>
  </w:num>
  <w:num w:numId="8">
    <w:abstractNumId w:val="14"/>
  </w:num>
  <w:num w:numId="9">
    <w:abstractNumId w:val="2"/>
  </w:num>
  <w:num w:numId="10">
    <w:abstractNumId w:val="7"/>
  </w:num>
  <w:num w:numId="11">
    <w:abstractNumId w:val="1"/>
    <w:lvlOverride w:ilvl="0">
      <w:lvl w:ilvl="0">
        <w:numFmt w:val="bullet"/>
        <w:lvlText w:val=""/>
        <w:legacy w:legacy="1" w:legacySpace="0" w:legacyIndent="360"/>
        <w:lvlJc w:val="left"/>
        <w:rPr>
          <w:rFonts w:ascii="Symbol" w:hAnsi="Symbol" w:hint="default"/>
          <w:color w:val="auto"/>
        </w:rPr>
      </w:lvl>
    </w:lvlOverride>
  </w:num>
  <w:num w:numId="12">
    <w:abstractNumId w:val="23"/>
  </w:num>
  <w:num w:numId="13">
    <w:abstractNumId w:val="4"/>
  </w:num>
  <w:num w:numId="14">
    <w:abstractNumId w:val="18"/>
  </w:num>
  <w:num w:numId="15">
    <w:abstractNumId w:val="8"/>
  </w:num>
  <w:num w:numId="16">
    <w:abstractNumId w:val="10"/>
  </w:num>
  <w:num w:numId="17">
    <w:abstractNumId w:val="17"/>
  </w:num>
  <w:num w:numId="18">
    <w:abstractNumId w:val="19"/>
  </w:num>
  <w:num w:numId="19">
    <w:abstractNumId w:val="6"/>
  </w:num>
  <w:num w:numId="20">
    <w:abstractNumId w:val="9"/>
  </w:num>
  <w:num w:numId="21">
    <w:abstractNumId w:val="24"/>
  </w:num>
  <w:num w:numId="22">
    <w:abstractNumId w:val="22"/>
  </w:num>
  <w:num w:numId="23">
    <w:abstractNumId w:val="12"/>
  </w:num>
  <w:num w:numId="24">
    <w:abstractNumId w:val="3"/>
  </w:num>
  <w:num w:numId="25">
    <w:abstractNumId w:val="11"/>
  </w:num>
  <w:num w:numId="26">
    <w:abstractNumId w:val="15"/>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3"/>
  </w:num>
  <w:num w:numId="30">
    <w:abstractNumId w:val="21"/>
  </w:num>
  <w:num w:numId="31">
    <w:abstractNumId w:val="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80897"/>
  </w:hdrShapeDefaults>
  <w:footnotePr>
    <w:footnote w:id="-1"/>
    <w:footnote w:id="0"/>
  </w:footnotePr>
  <w:endnotePr>
    <w:endnote w:id="-1"/>
    <w:endnote w:id="0"/>
  </w:endnotePr>
  <w:compat/>
  <w:rsids>
    <w:rsidRoot w:val="003D0E7B"/>
    <w:rsid w:val="00000149"/>
    <w:rsid w:val="00000EDD"/>
    <w:rsid w:val="00001237"/>
    <w:rsid w:val="00002A82"/>
    <w:rsid w:val="00003204"/>
    <w:rsid w:val="00005D5F"/>
    <w:rsid w:val="0001088C"/>
    <w:rsid w:val="0001114B"/>
    <w:rsid w:val="00011F82"/>
    <w:rsid w:val="00013155"/>
    <w:rsid w:val="000131D3"/>
    <w:rsid w:val="00013CEB"/>
    <w:rsid w:val="000147D9"/>
    <w:rsid w:val="000200D2"/>
    <w:rsid w:val="00020470"/>
    <w:rsid w:val="0002247F"/>
    <w:rsid w:val="00023081"/>
    <w:rsid w:val="00024753"/>
    <w:rsid w:val="00024AFC"/>
    <w:rsid w:val="0002791F"/>
    <w:rsid w:val="000310A6"/>
    <w:rsid w:val="000327CA"/>
    <w:rsid w:val="00032908"/>
    <w:rsid w:val="000332FB"/>
    <w:rsid w:val="000334D7"/>
    <w:rsid w:val="00033C06"/>
    <w:rsid w:val="00034976"/>
    <w:rsid w:val="000423D3"/>
    <w:rsid w:val="00042D69"/>
    <w:rsid w:val="00044E35"/>
    <w:rsid w:val="00045098"/>
    <w:rsid w:val="000467C3"/>
    <w:rsid w:val="00046E8E"/>
    <w:rsid w:val="00051E78"/>
    <w:rsid w:val="00053A0C"/>
    <w:rsid w:val="000556B5"/>
    <w:rsid w:val="000565B1"/>
    <w:rsid w:val="00056F09"/>
    <w:rsid w:val="0005784D"/>
    <w:rsid w:val="00057E89"/>
    <w:rsid w:val="0006410E"/>
    <w:rsid w:val="0006505F"/>
    <w:rsid w:val="00065E05"/>
    <w:rsid w:val="000660B5"/>
    <w:rsid w:val="00066201"/>
    <w:rsid w:val="000674B0"/>
    <w:rsid w:val="00070474"/>
    <w:rsid w:val="000731D0"/>
    <w:rsid w:val="0007449E"/>
    <w:rsid w:val="0007562E"/>
    <w:rsid w:val="00076652"/>
    <w:rsid w:val="0007671E"/>
    <w:rsid w:val="000812DB"/>
    <w:rsid w:val="0008236E"/>
    <w:rsid w:val="00082836"/>
    <w:rsid w:val="000839A9"/>
    <w:rsid w:val="000845EA"/>
    <w:rsid w:val="00085C12"/>
    <w:rsid w:val="000863BC"/>
    <w:rsid w:val="000868AE"/>
    <w:rsid w:val="00087BDF"/>
    <w:rsid w:val="000924E5"/>
    <w:rsid w:val="000934B9"/>
    <w:rsid w:val="0009491D"/>
    <w:rsid w:val="00095E31"/>
    <w:rsid w:val="00097245"/>
    <w:rsid w:val="000A0966"/>
    <w:rsid w:val="000A0B56"/>
    <w:rsid w:val="000A1EAA"/>
    <w:rsid w:val="000A3E86"/>
    <w:rsid w:val="000A4D7F"/>
    <w:rsid w:val="000A74F2"/>
    <w:rsid w:val="000B0BDF"/>
    <w:rsid w:val="000B0E28"/>
    <w:rsid w:val="000B27B2"/>
    <w:rsid w:val="000B5554"/>
    <w:rsid w:val="000B6E4B"/>
    <w:rsid w:val="000C35A6"/>
    <w:rsid w:val="000C3EA1"/>
    <w:rsid w:val="000C3F5A"/>
    <w:rsid w:val="000C40C2"/>
    <w:rsid w:val="000C589A"/>
    <w:rsid w:val="000C5EEF"/>
    <w:rsid w:val="000C78DE"/>
    <w:rsid w:val="000D0BCD"/>
    <w:rsid w:val="000D0C62"/>
    <w:rsid w:val="000D0F25"/>
    <w:rsid w:val="000D2F14"/>
    <w:rsid w:val="000D4BAD"/>
    <w:rsid w:val="000D5514"/>
    <w:rsid w:val="000D7433"/>
    <w:rsid w:val="000E1B3A"/>
    <w:rsid w:val="000E21A0"/>
    <w:rsid w:val="000E5F7F"/>
    <w:rsid w:val="000E6500"/>
    <w:rsid w:val="000F1DFB"/>
    <w:rsid w:val="000F3614"/>
    <w:rsid w:val="000F48E1"/>
    <w:rsid w:val="000F5CF2"/>
    <w:rsid w:val="001001BC"/>
    <w:rsid w:val="001011DF"/>
    <w:rsid w:val="001018D4"/>
    <w:rsid w:val="001019DE"/>
    <w:rsid w:val="00101C7A"/>
    <w:rsid w:val="00106956"/>
    <w:rsid w:val="00106E5E"/>
    <w:rsid w:val="001073D4"/>
    <w:rsid w:val="00110944"/>
    <w:rsid w:val="00111394"/>
    <w:rsid w:val="00113E8C"/>
    <w:rsid w:val="001145C8"/>
    <w:rsid w:val="00114834"/>
    <w:rsid w:val="00114B21"/>
    <w:rsid w:val="00114E97"/>
    <w:rsid w:val="001166CC"/>
    <w:rsid w:val="001207CB"/>
    <w:rsid w:val="00121C61"/>
    <w:rsid w:val="0013098F"/>
    <w:rsid w:val="00130A5C"/>
    <w:rsid w:val="00131B28"/>
    <w:rsid w:val="00135460"/>
    <w:rsid w:val="001363EF"/>
    <w:rsid w:val="0013715F"/>
    <w:rsid w:val="00137B1C"/>
    <w:rsid w:val="00141505"/>
    <w:rsid w:val="00146DF0"/>
    <w:rsid w:val="001471F7"/>
    <w:rsid w:val="00150BDA"/>
    <w:rsid w:val="00151891"/>
    <w:rsid w:val="00151FE5"/>
    <w:rsid w:val="0015203D"/>
    <w:rsid w:val="001526DA"/>
    <w:rsid w:val="00154C8D"/>
    <w:rsid w:val="0015789F"/>
    <w:rsid w:val="00160F8E"/>
    <w:rsid w:val="00161098"/>
    <w:rsid w:val="00163083"/>
    <w:rsid w:val="00163AD7"/>
    <w:rsid w:val="00165FDC"/>
    <w:rsid w:val="00166430"/>
    <w:rsid w:val="00166E51"/>
    <w:rsid w:val="00171E00"/>
    <w:rsid w:val="00172A02"/>
    <w:rsid w:val="0017558F"/>
    <w:rsid w:val="001779D3"/>
    <w:rsid w:val="001805C7"/>
    <w:rsid w:val="001810B7"/>
    <w:rsid w:val="001819C3"/>
    <w:rsid w:val="001833D6"/>
    <w:rsid w:val="00184004"/>
    <w:rsid w:val="00184180"/>
    <w:rsid w:val="0018464D"/>
    <w:rsid w:val="00185119"/>
    <w:rsid w:val="00187CA8"/>
    <w:rsid w:val="00187D50"/>
    <w:rsid w:val="001903CF"/>
    <w:rsid w:val="00190C06"/>
    <w:rsid w:val="00192D00"/>
    <w:rsid w:val="00193F9A"/>
    <w:rsid w:val="0019429A"/>
    <w:rsid w:val="00197F48"/>
    <w:rsid w:val="001A2290"/>
    <w:rsid w:val="001A6098"/>
    <w:rsid w:val="001A64FF"/>
    <w:rsid w:val="001B31CC"/>
    <w:rsid w:val="001B5DB4"/>
    <w:rsid w:val="001B77DD"/>
    <w:rsid w:val="001C1487"/>
    <w:rsid w:val="001C15B7"/>
    <w:rsid w:val="001C216B"/>
    <w:rsid w:val="001C306A"/>
    <w:rsid w:val="001D2FF0"/>
    <w:rsid w:val="001D53C4"/>
    <w:rsid w:val="001D6291"/>
    <w:rsid w:val="001D7E27"/>
    <w:rsid w:val="001E1243"/>
    <w:rsid w:val="001E463C"/>
    <w:rsid w:val="001E4F7F"/>
    <w:rsid w:val="001E539B"/>
    <w:rsid w:val="001E7265"/>
    <w:rsid w:val="001F2B9F"/>
    <w:rsid w:val="001F32CB"/>
    <w:rsid w:val="001F456B"/>
    <w:rsid w:val="001F5929"/>
    <w:rsid w:val="001F5CC1"/>
    <w:rsid w:val="001F684C"/>
    <w:rsid w:val="001F6E7E"/>
    <w:rsid w:val="002004EB"/>
    <w:rsid w:val="00200F09"/>
    <w:rsid w:val="002018E7"/>
    <w:rsid w:val="0020213E"/>
    <w:rsid w:val="00203074"/>
    <w:rsid w:val="00204BAD"/>
    <w:rsid w:val="002051E1"/>
    <w:rsid w:val="002076F0"/>
    <w:rsid w:val="0021032B"/>
    <w:rsid w:val="00213484"/>
    <w:rsid w:val="002154F7"/>
    <w:rsid w:val="0022025A"/>
    <w:rsid w:val="00221654"/>
    <w:rsid w:val="00222AA8"/>
    <w:rsid w:val="00222F3F"/>
    <w:rsid w:val="00223DB1"/>
    <w:rsid w:val="00224A36"/>
    <w:rsid w:val="00226B89"/>
    <w:rsid w:val="00230579"/>
    <w:rsid w:val="002311D2"/>
    <w:rsid w:val="0023146D"/>
    <w:rsid w:val="00231836"/>
    <w:rsid w:val="00231F75"/>
    <w:rsid w:val="00234E6D"/>
    <w:rsid w:val="002353B8"/>
    <w:rsid w:val="002363E0"/>
    <w:rsid w:val="00236F12"/>
    <w:rsid w:val="0023743E"/>
    <w:rsid w:val="00237A07"/>
    <w:rsid w:val="0024096A"/>
    <w:rsid w:val="002435FB"/>
    <w:rsid w:val="0024445D"/>
    <w:rsid w:val="00250346"/>
    <w:rsid w:val="0025235D"/>
    <w:rsid w:val="002541CC"/>
    <w:rsid w:val="00257997"/>
    <w:rsid w:val="00257AF4"/>
    <w:rsid w:val="00260BB5"/>
    <w:rsid w:val="00262279"/>
    <w:rsid w:val="002635ED"/>
    <w:rsid w:val="0026799E"/>
    <w:rsid w:val="002713E0"/>
    <w:rsid w:val="0027185B"/>
    <w:rsid w:val="0027215F"/>
    <w:rsid w:val="00276013"/>
    <w:rsid w:val="0027642F"/>
    <w:rsid w:val="002766ED"/>
    <w:rsid w:val="00276AB9"/>
    <w:rsid w:val="00276EAA"/>
    <w:rsid w:val="0027795A"/>
    <w:rsid w:val="00277CB4"/>
    <w:rsid w:val="00281BC2"/>
    <w:rsid w:val="00282951"/>
    <w:rsid w:val="002835B4"/>
    <w:rsid w:val="00283636"/>
    <w:rsid w:val="00283799"/>
    <w:rsid w:val="00283A26"/>
    <w:rsid w:val="00284F73"/>
    <w:rsid w:val="00285C2D"/>
    <w:rsid w:val="00286254"/>
    <w:rsid w:val="00292073"/>
    <w:rsid w:val="00296214"/>
    <w:rsid w:val="002962CD"/>
    <w:rsid w:val="002A015A"/>
    <w:rsid w:val="002A1869"/>
    <w:rsid w:val="002A1F05"/>
    <w:rsid w:val="002A2920"/>
    <w:rsid w:val="002A33D5"/>
    <w:rsid w:val="002A64BB"/>
    <w:rsid w:val="002A6922"/>
    <w:rsid w:val="002B4426"/>
    <w:rsid w:val="002B5548"/>
    <w:rsid w:val="002B63CA"/>
    <w:rsid w:val="002C1EDA"/>
    <w:rsid w:val="002C3B9B"/>
    <w:rsid w:val="002C3DCF"/>
    <w:rsid w:val="002C56C4"/>
    <w:rsid w:val="002D0615"/>
    <w:rsid w:val="002D56F5"/>
    <w:rsid w:val="002E0657"/>
    <w:rsid w:val="002E148D"/>
    <w:rsid w:val="002E2625"/>
    <w:rsid w:val="002E5520"/>
    <w:rsid w:val="002F13EF"/>
    <w:rsid w:val="002F1F00"/>
    <w:rsid w:val="002F304E"/>
    <w:rsid w:val="002F30F5"/>
    <w:rsid w:val="002F6D16"/>
    <w:rsid w:val="002F7754"/>
    <w:rsid w:val="003006DC"/>
    <w:rsid w:val="00300BFB"/>
    <w:rsid w:val="003016E2"/>
    <w:rsid w:val="00302F34"/>
    <w:rsid w:val="003034B0"/>
    <w:rsid w:val="0030408E"/>
    <w:rsid w:val="00305761"/>
    <w:rsid w:val="00307D1D"/>
    <w:rsid w:val="003120D5"/>
    <w:rsid w:val="00313620"/>
    <w:rsid w:val="00313F74"/>
    <w:rsid w:val="003146E6"/>
    <w:rsid w:val="00317730"/>
    <w:rsid w:val="003202D3"/>
    <w:rsid w:val="00322504"/>
    <w:rsid w:val="00324293"/>
    <w:rsid w:val="00324849"/>
    <w:rsid w:val="0032667C"/>
    <w:rsid w:val="00326AC8"/>
    <w:rsid w:val="00327944"/>
    <w:rsid w:val="0033094F"/>
    <w:rsid w:val="00330A6F"/>
    <w:rsid w:val="00330F1C"/>
    <w:rsid w:val="0033335A"/>
    <w:rsid w:val="0033348F"/>
    <w:rsid w:val="00333805"/>
    <w:rsid w:val="00335746"/>
    <w:rsid w:val="00336704"/>
    <w:rsid w:val="00336A53"/>
    <w:rsid w:val="003402CB"/>
    <w:rsid w:val="0034031A"/>
    <w:rsid w:val="003414C5"/>
    <w:rsid w:val="003421A5"/>
    <w:rsid w:val="00342AD5"/>
    <w:rsid w:val="0034487C"/>
    <w:rsid w:val="00344D5F"/>
    <w:rsid w:val="003457F0"/>
    <w:rsid w:val="00345D60"/>
    <w:rsid w:val="00345EDB"/>
    <w:rsid w:val="00347901"/>
    <w:rsid w:val="00351238"/>
    <w:rsid w:val="0035183B"/>
    <w:rsid w:val="0035668C"/>
    <w:rsid w:val="00356722"/>
    <w:rsid w:val="00356C1C"/>
    <w:rsid w:val="00357978"/>
    <w:rsid w:val="00361626"/>
    <w:rsid w:val="00364258"/>
    <w:rsid w:val="00371A9C"/>
    <w:rsid w:val="00377B7E"/>
    <w:rsid w:val="00380B00"/>
    <w:rsid w:val="003816D1"/>
    <w:rsid w:val="0038697E"/>
    <w:rsid w:val="00386F3C"/>
    <w:rsid w:val="003913D3"/>
    <w:rsid w:val="003916E5"/>
    <w:rsid w:val="00391B3E"/>
    <w:rsid w:val="00393D4D"/>
    <w:rsid w:val="00396425"/>
    <w:rsid w:val="003979CA"/>
    <w:rsid w:val="003A13BB"/>
    <w:rsid w:val="003A2264"/>
    <w:rsid w:val="003A232E"/>
    <w:rsid w:val="003A77B0"/>
    <w:rsid w:val="003B0CB9"/>
    <w:rsid w:val="003B2E13"/>
    <w:rsid w:val="003B4328"/>
    <w:rsid w:val="003B46A7"/>
    <w:rsid w:val="003B60F1"/>
    <w:rsid w:val="003B6C03"/>
    <w:rsid w:val="003C3A95"/>
    <w:rsid w:val="003C59D1"/>
    <w:rsid w:val="003C7266"/>
    <w:rsid w:val="003D0AD6"/>
    <w:rsid w:val="003D0D7F"/>
    <w:rsid w:val="003D0E7B"/>
    <w:rsid w:val="003D0FEA"/>
    <w:rsid w:val="003D1A9B"/>
    <w:rsid w:val="003D1C59"/>
    <w:rsid w:val="003D2543"/>
    <w:rsid w:val="003D2DCA"/>
    <w:rsid w:val="003D3D41"/>
    <w:rsid w:val="003D4055"/>
    <w:rsid w:val="003D58CF"/>
    <w:rsid w:val="003D61B5"/>
    <w:rsid w:val="003E07F8"/>
    <w:rsid w:val="003E08AD"/>
    <w:rsid w:val="003E0DB9"/>
    <w:rsid w:val="003E0E22"/>
    <w:rsid w:val="003E19DE"/>
    <w:rsid w:val="003E21B2"/>
    <w:rsid w:val="003E3704"/>
    <w:rsid w:val="003E615F"/>
    <w:rsid w:val="003E6547"/>
    <w:rsid w:val="003E7457"/>
    <w:rsid w:val="003E7C3C"/>
    <w:rsid w:val="003F01C2"/>
    <w:rsid w:val="003F1FF6"/>
    <w:rsid w:val="003F77CC"/>
    <w:rsid w:val="00402F01"/>
    <w:rsid w:val="00406567"/>
    <w:rsid w:val="004075C9"/>
    <w:rsid w:val="004079BA"/>
    <w:rsid w:val="004121F5"/>
    <w:rsid w:val="00412B79"/>
    <w:rsid w:val="00413698"/>
    <w:rsid w:val="00413D62"/>
    <w:rsid w:val="00417817"/>
    <w:rsid w:val="00423965"/>
    <w:rsid w:val="00423C2B"/>
    <w:rsid w:val="004250E6"/>
    <w:rsid w:val="004267D9"/>
    <w:rsid w:val="004323AA"/>
    <w:rsid w:val="00433BB2"/>
    <w:rsid w:val="00435FF7"/>
    <w:rsid w:val="004368CA"/>
    <w:rsid w:val="0043732F"/>
    <w:rsid w:val="00437F48"/>
    <w:rsid w:val="004408E3"/>
    <w:rsid w:val="004417F7"/>
    <w:rsid w:val="004419A8"/>
    <w:rsid w:val="0044249B"/>
    <w:rsid w:val="00442B3B"/>
    <w:rsid w:val="00442FDD"/>
    <w:rsid w:val="00443417"/>
    <w:rsid w:val="0044524F"/>
    <w:rsid w:val="00446A90"/>
    <w:rsid w:val="00447D7E"/>
    <w:rsid w:val="004519D9"/>
    <w:rsid w:val="00451CA0"/>
    <w:rsid w:val="00451FD9"/>
    <w:rsid w:val="00453834"/>
    <w:rsid w:val="00453D69"/>
    <w:rsid w:val="00456370"/>
    <w:rsid w:val="00457FD6"/>
    <w:rsid w:val="00461843"/>
    <w:rsid w:val="004618ED"/>
    <w:rsid w:val="00464FC7"/>
    <w:rsid w:val="004651CD"/>
    <w:rsid w:val="00465890"/>
    <w:rsid w:val="00465C44"/>
    <w:rsid w:val="004666AD"/>
    <w:rsid w:val="00472CF5"/>
    <w:rsid w:val="00473E4E"/>
    <w:rsid w:val="00477269"/>
    <w:rsid w:val="0048025B"/>
    <w:rsid w:val="0048075E"/>
    <w:rsid w:val="004810BE"/>
    <w:rsid w:val="004842F7"/>
    <w:rsid w:val="00484F96"/>
    <w:rsid w:val="004853C7"/>
    <w:rsid w:val="00486228"/>
    <w:rsid w:val="00486421"/>
    <w:rsid w:val="004876A9"/>
    <w:rsid w:val="004935A0"/>
    <w:rsid w:val="00493966"/>
    <w:rsid w:val="004965FA"/>
    <w:rsid w:val="00496B19"/>
    <w:rsid w:val="004A04C5"/>
    <w:rsid w:val="004A05BD"/>
    <w:rsid w:val="004A2AA3"/>
    <w:rsid w:val="004A56EB"/>
    <w:rsid w:val="004A62E6"/>
    <w:rsid w:val="004A661C"/>
    <w:rsid w:val="004B1D02"/>
    <w:rsid w:val="004B1E6C"/>
    <w:rsid w:val="004B3D74"/>
    <w:rsid w:val="004B44EF"/>
    <w:rsid w:val="004B5638"/>
    <w:rsid w:val="004B5BE8"/>
    <w:rsid w:val="004C01B5"/>
    <w:rsid w:val="004C0A95"/>
    <w:rsid w:val="004C0ACB"/>
    <w:rsid w:val="004C2BE6"/>
    <w:rsid w:val="004C4230"/>
    <w:rsid w:val="004C4FE9"/>
    <w:rsid w:val="004C5E9A"/>
    <w:rsid w:val="004C6014"/>
    <w:rsid w:val="004C7209"/>
    <w:rsid w:val="004C78B1"/>
    <w:rsid w:val="004C7C22"/>
    <w:rsid w:val="004C7ECD"/>
    <w:rsid w:val="004D0A2C"/>
    <w:rsid w:val="004D1099"/>
    <w:rsid w:val="004D2B3A"/>
    <w:rsid w:val="004D4D4C"/>
    <w:rsid w:val="004D5BE4"/>
    <w:rsid w:val="004E005A"/>
    <w:rsid w:val="004E406D"/>
    <w:rsid w:val="004E431B"/>
    <w:rsid w:val="004E52EB"/>
    <w:rsid w:val="004E57DA"/>
    <w:rsid w:val="004E62F7"/>
    <w:rsid w:val="004E6B86"/>
    <w:rsid w:val="004F13E3"/>
    <w:rsid w:val="004F22AA"/>
    <w:rsid w:val="004F263A"/>
    <w:rsid w:val="004F3116"/>
    <w:rsid w:val="004F38CF"/>
    <w:rsid w:val="004F605B"/>
    <w:rsid w:val="004F640B"/>
    <w:rsid w:val="004F71E0"/>
    <w:rsid w:val="004F7D52"/>
    <w:rsid w:val="005009D3"/>
    <w:rsid w:val="00500EB1"/>
    <w:rsid w:val="005011C7"/>
    <w:rsid w:val="0050142E"/>
    <w:rsid w:val="005023EC"/>
    <w:rsid w:val="00503125"/>
    <w:rsid w:val="00513BEF"/>
    <w:rsid w:val="00515EC3"/>
    <w:rsid w:val="00516FCB"/>
    <w:rsid w:val="00517701"/>
    <w:rsid w:val="005204C0"/>
    <w:rsid w:val="00525F6B"/>
    <w:rsid w:val="00526476"/>
    <w:rsid w:val="00526666"/>
    <w:rsid w:val="00527D8E"/>
    <w:rsid w:val="005307C6"/>
    <w:rsid w:val="00530BEA"/>
    <w:rsid w:val="00530F23"/>
    <w:rsid w:val="005317A0"/>
    <w:rsid w:val="005322E4"/>
    <w:rsid w:val="005327BE"/>
    <w:rsid w:val="005355BF"/>
    <w:rsid w:val="00540331"/>
    <w:rsid w:val="00541725"/>
    <w:rsid w:val="00543AAC"/>
    <w:rsid w:val="005450A6"/>
    <w:rsid w:val="0054537D"/>
    <w:rsid w:val="0054621C"/>
    <w:rsid w:val="00546EC6"/>
    <w:rsid w:val="005503F3"/>
    <w:rsid w:val="0055043C"/>
    <w:rsid w:val="0055244A"/>
    <w:rsid w:val="00553E43"/>
    <w:rsid w:val="00554115"/>
    <w:rsid w:val="005573C4"/>
    <w:rsid w:val="00560775"/>
    <w:rsid w:val="005618C5"/>
    <w:rsid w:val="00561E56"/>
    <w:rsid w:val="00562004"/>
    <w:rsid w:val="00564AD3"/>
    <w:rsid w:val="00566594"/>
    <w:rsid w:val="0056725C"/>
    <w:rsid w:val="00567CB2"/>
    <w:rsid w:val="0057080A"/>
    <w:rsid w:val="005710E7"/>
    <w:rsid w:val="005721DB"/>
    <w:rsid w:val="00574941"/>
    <w:rsid w:val="00575AD3"/>
    <w:rsid w:val="005764A2"/>
    <w:rsid w:val="005818EA"/>
    <w:rsid w:val="00581BC1"/>
    <w:rsid w:val="0058204D"/>
    <w:rsid w:val="00583EA6"/>
    <w:rsid w:val="005841F2"/>
    <w:rsid w:val="00584C3E"/>
    <w:rsid w:val="00586B69"/>
    <w:rsid w:val="00586F65"/>
    <w:rsid w:val="005877B4"/>
    <w:rsid w:val="005901B5"/>
    <w:rsid w:val="005925B7"/>
    <w:rsid w:val="00592879"/>
    <w:rsid w:val="00593B68"/>
    <w:rsid w:val="005951EB"/>
    <w:rsid w:val="00595514"/>
    <w:rsid w:val="00596188"/>
    <w:rsid w:val="00596AB6"/>
    <w:rsid w:val="00596F92"/>
    <w:rsid w:val="00597DC7"/>
    <w:rsid w:val="005A2CA9"/>
    <w:rsid w:val="005A3811"/>
    <w:rsid w:val="005A461E"/>
    <w:rsid w:val="005A5093"/>
    <w:rsid w:val="005A7C6C"/>
    <w:rsid w:val="005B019D"/>
    <w:rsid w:val="005B0E1A"/>
    <w:rsid w:val="005B1A77"/>
    <w:rsid w:val="005B1D7F"/>
    <w:rsid w:val="005B3E0F"/>
    <w:rsid w:val="005C3766"/>
    <w:rsid w:val="005C376B"/>
    <w:rsid w:val="005C68E8"/>
    <w:rsid w:val="005C6EB2"/>
    <w:rsid w:val="005C7296"/>
    <w:rsid w:val="005D078F"/>
    <w:rsid w:val="005D14B4"/>
    <w:rsid w:val="005D16E7"/>
    <w:rsid w:val="005D1A98"/>
    <w:rsid w:val="005D21D2"/>
    <w:rsid w:val="005D2C98"/>
    <w:rsid w:val="005D473A"/>
    <w:rsid w:val="005D6819"/>
    <w:rsid w:val="005E1375"/>
    <w:rsid w:val="005E1660"/>
    <w:rsid w:val="005E696D"/>
    <w:rsid w:val="005E6D1E"/>
    <w:rsid w:val="005F0807"/>
    <w:rsid w:val="005F22D5"/>
    <w:rsid w:val="005F307F"/>
    <w:rsid w:val="005F37CD"/>
    <w:rsid w:val="005F487D"/>
    <w:rsid w:val="005F4B3F"/>
    <w:rsid w:val="005F5868"/>
    <w:rsid w:val="005F7895"/>
    <w:rsid w:val="00601A72"/>
    <w:rsid w:val="006021F1"/>
    <w:rsid w:val="006027BE"/>
    <w:rsid w:val="00603721"/>
    <w:rsid w:val="0060513C"/>
    <w:rsid w:val="006106E4"/>
    <w:rsid w:val="00610B30"/>
    <w:rsid w:val="00611C3D"/>
    <w:rsid w:val="00612F80"/>
    <w:rsid w:val="0061340E"/>
    <w:rsid w:val="0061578D"/>
    <w:rsid w:val="00621F7B"/>
    <w:rsid w:val="00624753"/>
    <w:rsid w:val="00625A91"/>
    <w:rsid w:val="006305E9"/>
    <w:rsid w:val="00633095"/>
    <w:rsid w:val="00633215"/>
    <w:rsid w:val="006332B6"/>
    <w:rsid w:val="006336FA"/>
    <w:rsid w:val="00633B91"/>
    <w:rsid w:val="006346BC"/>
    <w:rsid w:val="00636684"/>
    <w:rsid w:val="006366E2"/>
    <w:rsid w:val="006376B1"/>
    <w:rsid w:val="00637CF3"/>
    <w:rsid w:val="006411C1"/>
    <w:rsid w:val="00642FE4"/>
    <w:rsid w:val="0064312A"/>
    <w:rsid w:val="00645A62"/>
    <w:rsid w:val="00647136"/>
    <w:rsid w:val="00647429"/>
    <w:rsid w:val="00647CFE"/>
    <w:rsid w:val="00650290"/>
    <w:rsid w:val="00656F11"/>
    <w:rsid w:val="00657D7C"/>
    <w:rsid w:val="00660C4F"/>
    <w:rsid w:val="00670138"/>
    <w:rsid w:val="00670357"/>
    <w:rsid w:val="00672191"/>
    <w:rsid w:val="00673817"/>
    <w:rsid w:val="006746BE"/>
    <w:rsid w:val="006751EA"/>
    <w:rsid w:val="00675AD8"/>
    <w:rsid w:val="00677FF7"/>
    <w:rsid w:val="00681C34"/>
    <w:rsid w:val="00683055"/>
    <w:rsid w:val="00684B4A"/>
    <w:rsid w:val="00687DC6"/>
    <w:rsid w:val="00692960"/>
    <w:rsid w:val="00692A84"/>
    <w:rsid w:val="00693BC1"/>
    <w:rsid w:val="00693F48"/>
    <w:rsid w:val="006953FC"/>
    <w:rsid w:val="006956E9"/>
    <w:rsid w:val="00697E94"/>
    <w:rsid w:val="006A008F"/>
    <w:rsid w:val="006A08E2"/>
    <w:rsid w:val="006A0C81"/>
    <w:rsid w:val="006A30E2"/>
    <w:rsid w:val="006A3444"/>
    <w:rsid w:val="006A5079"/>
    <w:rsid w:val="006A62A6"/>
    <w:rsid w:val="006A7BED"/>
    <w:rsid w:val="006B5BD1"/>
    <w:rsid w:val="006B6A7B"/>
    <w:rsid w:val="006C07D6"/>
    <w:rsid w:val="006C1AB1"/>
    <w:rsid w:val="006C1CE0"/>
    <w:rsid w:val="006C423B"/>
    <w:rsid w:val="006C557C"/>
    <w:rsid w:val="006C70C4"/>
    <w:rsid w:val="006C7315"/>
    <w:rsid w:val="006C769D"/>
    <w:rsid w:val="006C78C8"/>
    <w:rsid w:val="006D0CB6"/>
    <w:rsid w:val="006D0F94"/>
    <w:rsid w:val="006D3536"/>
    <w:rsid w:val="006D5445"/>
    <w:rsid w:val="006D5F62"/>
    <w:rsid w:val="006E0000"/>
    <w:rsid w:val="006E002A"/>
    <w:rsid w:val="006E0B06"/>
    <w:rsid w:val="006E2544"/>
    <w:rsid w:val="006E2906"/>
    <w:rsid w:val="006E33D5"/>
    <w:rsid w:val="006E4B01"/>
    <w:rsid w:val="006E670E"/>
    <w:rsid w:val="006E6877"/>
    <w:rsid w:val="006F4A01"/>
    <w:rsid w:val="006F7353"/>
    <w:rsid w:val="00700DC9"/>
    <w:rsid w:val="00701DDE"/>
    <w:rsid w:val="00704373"/>
    <w:rsid w:val="00704D31"/>
    <w:rsid w:val="00706171"/>
    <w:rsid w:val="007065C9"/>
    <w:rsid w:val="00706647"/>
    <w:rsid w:val="0071100E"/>
    <w:rsid w:val="00712D2F"/>
    <w:rsid w:val="00713ACB"/>
    <w:rsid w:val="00714A17"/>
    <w:rsid w:val="0071546E"/>
    <w:rsid w:val="00715E3A"/>
    <w:rsid w:val="0071714A"/>
    <w:rsid w:val="0072038A"/>
    <w:rsid w:val="00723986"/>
    <w:rsid w:val="00723BF7"/>
    <w:rsid w:val="007251E2"/>
    <w:rsid w:val="00725451"/>
    <w:rsid w:val="00727298"/>
    <w:rsid w:val="00730573"/>
    <w:rsid w:val="00731249"/>
    <w:rsid w:val="00731B77"/>
    <w:rsid w:val="00733924"/>
    <w:rsid w:val="00734B60"/>
    <w:rsid w:val="00736FFF"/>
    <w:rsid w:val="007375CA"/>
    <w:rsid w:val="00737F0C"/>
    <w:rsid w:val="00740FA7"/>
    <w:rsid w:val="00745D8B"/>
    <w:rsid w:val="00746E6C"/>
    <w:rsid w:val="00754CB1"/>
    <w:rsid w:val="00755BA2"/>
    <w:rsid w:val="007604D1"/>
    <w:rsid w:val="007613C4"/>
    <w:rsid w:val="0076218E"/>
    <w:rsid w:val="00763266"/>
    <w:rsid w:val="0076666E"/>
    <w:rsid w:val="007672F0"/>
    <w:rsid w:val="00767F82"/>
    <w:rsid w:val="007711B3"/>
    <w:rsid w:val="00773214"/>
    <w:rsid w:val="00773425"/>
    <w:rsid w:val="00776054"/>
    <w:rsid w:val="00776319"/>
    <w:rsid w:val="00777132"/>
    <w:rsid w:val="00784045"/>
    <w:rsid w:val="0078440A"/>
    <w:rsid w:val="007851F1"/>
    <w:rsid w:val="00785618"/>
    <w:rsid w:val="00792186"/>
    <w:rsid w:val="00792673"/>
    <w:rsid w:val="007962C1"/>
    <w:rsid w:val="00796B8C"/>
    <w:rsid w:val="007A02B9"/>
    <w:rsid w:val="007A1CF3"/>
    <w:rsid w:val="007A4CCE"/>
    <w:rsid w:val="007A4EED"/>
    <w:rsid w:val="007A5C0C"/>
    <w:rsid w:val="007A688C"/>
    <w:rsid w:val="007A76D2"/>
    <w:rsid w:val="007B0AD3"/>
    <w:rsid w:val="007B2633"/>
    <w:rsid w:val="007B2B9A"/>
    <w:rsid w:val="007B366A"/>
    <w:rsid w:val="007B406F"/>
    <w:rsid w:val="007B47FE"/>
    <w:rsid w:val="007B4B93"/>
    <w:rsid w:val="007B5F28"/>
    <w:rsid w:val="007B6998"/>
    <w:rsid w:val="007C1942"/>
    <w:rsid w:val="007C25ED"/>
    <w:rsid w:val="007C2D69"/>
    <w:rsid w:val="007C4781"/>
    <w:rsid w:val="007D07F8"/>
    <w:rsid w:val="007D2ACB"/>
    <w:rsid w:val="007D2AF9"/>
    <w:rsid w:val="007D40A6"/>
    <w:rsid w:val="007E053A"/>
    <w:rsid w:val="007E1001"/>
    <w:rsid w:val="007E137F"/>
    <w:rsid w:val="007E599B"/>
    <w:rsid w:val="007E613C"/>
    <w:rsid w:val="007E6F05"/>
    <w:rsid w:val="007E7E2C"/>
    <w:rsid w:val="007F2E46"/>
    <w:rsid w:val="007F5334"/>
    <w:rsid w:val="007F5E35"/>
    <w:rsid w:val="007F5EB1"/>
    <w:rsid w:val="007F6312"/>
    <w:rsid w:val="007F754C"/>
    <w:rsid w:val="007F7FE8"/>
    <w:rsid w:val="008019D3"/>
    <w:rsid w:val="008021AD"/>
    <w:rsid w:val="00803E0C"/>
    <w:rsid w:val="00803E60"/>
    <w:rsid w:val="00804118"/>
    <w:rsid w:val="0080679C"/>
    <w:rsid w:val="0081117D"/>
    <w:rsid w:val="0081676C"/>
    <w:rsid w:val="008216D8"/>
    <w:rsid w:val="00821BAA"/>
    <w:rsid w:val="008221E3"/>
    <w:rsid w:val="00823DCE"/>
    <w:rsid w:val="008267CB"/>
    <w:rsid w:val="00826B2A"/>
    <w:rsid w:val="00827248"/>
    <w:rsid w:val="00830FF4"/>
    <w:rsid w:val="00832EA9"/>
    <w:rsid w:val="008339FA"/>
    <w:rsid w:val="00833B92"/>
    <w:rsid w:val="00835F7A"/>
    <w:rsid w:val="00836AAC"/>
    <w:rsid w:val="00841879"/>
    <w:rsid w:val="00843CE6"/>
    <w:rsid w:val="00845432"/>
    <w:rsid w:val="00845828"/>
    <w:rsid w:val="00851E79"/>
    <w:rsid w:val="00852866"/>
    <w:rsid w:val="00854388"/>
    <w:rsid w:val="00857492"/>
    <w:rsid w:val="008617C7"/>
    <w:rsid w:val="00861E48"/>
    <w:rsid w:val="00862069"/>
    <w:rsid w:val="00862ECD"/>
    <w:rsid w:val="0086391A"/>
    <w:rsid w:val="00863CBC"/>
    <w:rsid w:val="008643B0"/>
    <w:rsid w:val="00865294"/>
    <w:rsid w:val="00871F53"/>
    <w:rsid w:val="008728B7"/>
    <w:rsid w:val="00873E48"/>
    <w:rsid w:val="0087467D"/>
    <w:rsid w:val="0087542E"/>
    <w:rsid w:val="0087565C"/>
    <w:rsid w:val="0087627C"/>
    <w:rsid w:val="008767BA"/>
    <w:rsid w:val="00876B20"/>
    <w:rsid w:val="0087704C"/>
    <w:rsid w:val="00880558"/>
    <w:rsid w:val="00880B0F"/>
    <w:rsid w:val="00881DC6"/>
    <w:rsid w:val="00887B84"/>
    <w:rsid w:val="00887C66"/>
    <w:rsid w:val="00891E0D"/>
    <w:rsid w:val="00892FBF"/>
    <w:rsid w:val="00893F80"/>
    <w:rsid w:val="00894764"/>
    <w:rsid w:val="00894E5C"/>
    <w:rsid w:val="00894E5F"/>
    <w:rsid w:val="0089574B"/>
    <w:rsid w:val="008965CB"/>
    <w:rsid w:val="00897567"/>
    <w:rsid w:val="0089776D"/>
    <w:rsid w:val="008A5246"/>
    <w:rsid w:val="008A6E4B"/>
    <w:rsid w:val="008A75D0"/>
    <w:rsid w:val="008B061B"/>
    <w:rsid w:val="008B1A24"/>
    <w:rsid w:val="008B256E"/>
    <w:rsid w:val="008B25A8"/>
    <w:rsid w:val="008B2CF8"/>
    <w:rsid w:val="008B420C"/>
    <w:rsid w:val="008B54EA"/>
    <w:rsid w:val="008B598C"/>
    <w:rsid w:val="008B672C"/>
    <w:rsid w:val="008B6923"/>
    <w:rsid w:val="008C00A1"/>
    <w:rsid w:val="008C1B79"/>
    <w:rsid w:val="008C3F92"/>
    <w:rsid w:val="008C700F"/>
    <w:rsid w:val="008C7C9E"/>
    <w:rsid w:val="008D1EC0"/>
    <w:rsid w:val="008D2068"/>
    <w:rsid w:val="008D2416"/>
    <w:rsid w:val="008D25C7"/>
    <w:rsid w:val="008D2BE2"/>
    <w:rsid w:val="008D4D2C"/>
    <w:rsid w:val="008D50CC"/>
    <w:rsid w:val="008D6134"/>
    <w:rsid w:val="008D61F0"/>
    <w:rsid w:val="008D65AD"/>
    <w:rsid w:val="008D6862"/>
    <w:rsid w:val="008E104F"/>
    <w:rsid w:val="008E2B1C"/>
    <w:rsid w:val="008E39CA"/>
    <w:rsid w:val="008E3B59"/>
    <w:rsid w:val="008E5018"/>
    <w:rsid w:val="008E5473"/>
    <w:rsid w:val="008E670D"/>
    <w:rsid w:val="008F00EF"/>
    <w:rsid w:val="008F1855"/>
    <w:rsid w:val="008F2993"/>
    <w:rsid w:val="008F4574"/>
    <w:rsid w:val="008F529C"/>
    <w:rsid w:val="008F5966"/>
    <w:rsid w:val="008F7663"/>
    <w:rsid w:val="008F7AC2"/>
    <w:rsid w:val="00904127"/>
    <w:rsid w:val="00904976"/>
    <w:rsid w:val="0090593F"/>
    <w:rsid w:val="009111A3"/>
    <w:rsid w:val="00912BF4"/>
    <w:rsid w:val="009136AE"/>
    <w:rsid w:val="009147A6"/>
    <w:rsid w:val="00915B17"/>
    <w:rsid w:val="00915DB9"/>
    <w:rsid w:val="0092052E"/>
    <w:rsid w:val="00920F51"/>
    <w:rsid w:val="00921AFD"/>
    <w:rsid w:val="00922D07"/>
    <w:rsid w:val="00922FE7"/>
    <w:rsid w:val="00923162"/>
    <w:rsid w:val="00925A3D"/>
    <w:rsid w:val="009276DB"/>
    <w:rsid w:val="00927D1B"/>
    <w:rsid w:val="009301F5"/>
    <w:rsid w:val="009305B0"/>
    <w:rsid w:val="0093076A"/>
    <w:rsid w:val="009319FD"/>
    <w:rsid w:val="009329BB"/>
    <w:rsid w:val="0093539F"/>
    <w:rsid w:val="00935BAE"/>
    <w:rsid w:val="00944A96"/>
    <w:rsid w:val="00944B95"/>
    <w:rsid w:val="009471FA"/>
    <w:rsid w:val="00954E6F"/>
    <w:rsid w:val="00955DFD"/>
    <w:rsid w:val="009562AA"/>
    <w:rsid w:val="009563C4"/>
    <w:rsid w:val="0095733D"/>
    <w:rsid w:val="00960A16"/>
    <w:rsid w:val="00961408"/>
    <w:rsid w:val="0096224F"/>
    <w:rsid w:val="00962635"/>
    <w:rsid w:val="00963D3F"/>
    <w:rsid w:val="009656DC"/>
    <w:rsid w:val="00966CEB"/>
    <w:rsid w:val="009678BE"/>
    <w:rsid w:val="009704CB"/>
    <w:rsid w:val="0097259E"/>
    <w:rsid w:val="009730F8"/>
    <w:rsid w:val="009735A4"/>
    <w:rsid w:val="00976BDF"/>
    <w:rsid w:val="009806A2"/>
    <w:rsid w:val="00982480"/>
    <w:rsid w:val="00982D0F"/>
    <w:rsid w:val="009842DA"/>
    <w:rsid w:val="00984DA0"/>
    <w:rsid w:val="00985878"/>
    <w:rsid w:val="00985A21"/>
    <w:rsid w:val="009873B0"/>
    <w:rsid w:val="00987993"/>
    <w:rsid w:val="0099010D"/>
    <w:rsid w:val="00991155"/>
    <w:rsid w:val="00992BC5"/>
    <w:rsid w:val="00993556"/>
    <w:rsid w:val="009A1E5B"/>
    <w:rsid w:val="009A206D"/>
    <w:rsid w:val="009A2E5B"/>
    <w:rsid w:val="009A459E"/>
    <w:rsid w:val="009A5C3B"/>
    <w:rsid w:val="009B29BB"/>
    <w:rsid w:val="009B2F8D"/>
    <w:rsid w:val="009B3AA9"/>
    <w:rsid w:val="009B7B8A"/>
    <w:rsid w:val="009B7EC9"/>
    <w:rsid w:val="009C0A41"/>
    <w:rsid w:val="009C0A84"/>
    <w:rsid w:val="009C11E9"/>
    <w:rsid w:val="009C29F7"/>
    <w:rsid w:val="009C37BD"/>
    <w:rsid w:val="009C3860"/>
    <w:rsid w:val="009C56E9"/>
    <w:rsid w:val="009C595D"/>
    <w:rsid w:val="009C6348"/>
    <w:rsid w:val="009C66C8"/>
    <w:rsid w:val="009C6CE3"/>
    <w:rsid w:val="009D2450"/>
    <w:rsid w:val="009D2711"/>
    <w:rsid w:val="009D3468"/>
    <w:rsid w:val="009D6895"/>
    <w:rsid w:val="009D71BE"/>
    <w:rsid w:val="009E030F"/>
    <w:rsid w:val="009E42F3"/>
    <w:rsid w:val="009E47CD"/>
    <w:rsid w:val="009E5327"/>
    <w:rsid w:val="009E6E3E"/>
    <w:rsid w:val="009E6EDA"/>
    <w:rsid w:val="009E701C"/>
    <w:rsid w:val="009E7C54"/>
    <w:rsid w:val="009E7E2C"/>
    <w:rsid w:val="009F2B9A"/>
    <w:rsid w:val="009F3F11"/>
    <w:rsid w:val="009F4764"/>
    <w:rsid w:val="009F5167"/>
    <w:rsid w:val="00A0180D"/>
    <w:rsid w:val="00A0525F"/>
    <w:rsid w:val="00A0692E"/>
    <w:rsid w:val="00A07280"/>
    <w:rsid w:val="00A07550"/>
    <w:rsid w:val="00A102EC"/>
    <w:rsid w:val="00A10BE9"/>
    <w:rsid w:val="00A13602"/>
    <w:rsid w:val="00A138D0"/>
    <w:rsid w:val="00A16B6D"/>
    <w:rsid w:val="00A16CD5"/>
    <w:rsid w:val="00A2307A"/>
    <w:rsid w:val="00A2319B"/>
    <w:rsid w:val="00A2478F"/>
    <w:rsid w:val="00A25111"/>
    <w:rsid w:val="00A270A9"/>
    <w:rsid w:val="00A27499"/>
    <w:rsid w:val="00A3146E"/>
    <w:rsid w:val="00A31F51"/>
    <w:rsid w:val="00A32A18"/>
    <w:rsid w:val="00A34F1C"/>
    <w:rsid w:val="00A372A4"/>
    <w:rsid w:val="00A402B3"/>
    <w:rsid w:val="00A42B65"/>
    <w:rsid w:val="00A441DE"/>
    <w:rsid w:val="00A4480B"/>
    <w:rsid w:val="00A4744B"/>
    <w:rsid w:val="00A4776F"/>
    <w:rsid w:val="00A50FA6"/>
    <w:rsid w:val="00A53BFE"/>
    <w:rsid w:val="00A540BB"/>
    <w:rsid w:val="00A54D9C"/>
    <w:rsid w:val="00A616BA"/>
    <w:rsid w:val="00A623B3"/>
    <w:rsid w:val="00A64ADF"/>
    <w:rsid w:val="00A64F10"/>
    <w:rsid w:val="00A6539C"/>
    <w:rsid w:val="00A712F9"/>
    <w:rsid w:val="00A716D1"/>
    <w:rsid w:val="00A72329"/>
    <w:rsid w:val="00A733D6"/>
    <w:rsid w:val="00A74461"/>
    <w:rsid w:val="00A765B0"/>
    <w:rsid w:val="00A77724"/>
    <w:rsid w:val="00A804FD"/>
    <w:rsid w:val="00A80C44"/>
    <w:rsid w:val="00A80EC7"/>
    <w:rsid w:val="00A8138C"/>
    <w:rsid w:val="00A8190C"/>
    <w:rsid w:val="00A82775"/>
    <w:rsid w:val="00A8277B"/>
    <w:rsid w:val="00A84C36"/>
    <w:rsid w:val="00A85994"/>
    <w:rsid w:val="00A86465"/>
    <w:rsid w:val="00A90E14"/>
    <w:rsid w:val="00A91551"/>
    <w:rsid w:val="00A95653"/>
    <w:rsid w:val="00A95B30"/>
    <w:rsid w:val="00A96DA8"/>
    <w:rsid w:val="00A97768"/>
    <w:rsid w:val="00AA1462"/>
    <w:rsid w:val="00AA3801"/>
    <w:rsid w:val="00AA497A"/>
    <w:rsid w:val="00AA4A00"/>
    <w:rsid w:val="00AA4A67"/>
    <w:rsid w:val="00AA634F"/>
    <w:rsid w:val="00AA64AF"/>
    <w:rsid w:val="00AA67DB"/>
    <w:rsid w:val="00AA7841"/>
    <w:rsid w:val="00AA79B9"/>
    <w:rsid w:val="00AA7E1D"/>
    <w:rsid w:val="00AB14EA"/>
    <w:rsid w:val="00AB1829"/>
    <w:rsid w:val="00AB19D5"/>
    <w:rsid w:val="00AB310E"/>
    <w:rsid w:val="00AB3ECC"/>
    <w:rsid w:val="00AB43EF"/>
    <w:rsid w:val="00AB495C"/>
    <w:rsid w:val="00AB5E25"/>
    <w:rsid w:val="00AB70EE"/>
    <w:rsid w:val="00AB72B2"/>
    <w:rsid w:val="00AC0082"/>
    <w:rsid w:val="00AC0FAF"/>
    <w:rsid w:val="00AC117B"/>
    <w:rsid w:val="00AC1A91"/>
    <w:rsid w:val="00AC2C96"/>
    <w:rsid w:val="00AC2F37"/>
    <w:rsid w:val="00AC4B82"/>
    <w:rsid w:val="00AC5CF8"/>
    <w:rsid w:val="00AC6441"/>
    <w:rsid w:val="00AC7C1C"/>
    <w:rsid w:val="00AD0422"/>
    <w:rsid w:val="00AD0E0F"/>
    <w:rsid w:val="00AD1653"/>
    <w:rsid w:val="00AD46D8"/>
    <w:rsid w:val="00AD6D70"/>
    <w:rsid w:val="00AE0EE6"/>
    <w:rsid w:val="00AE11AA"/>
    <w:rsid w:val="00AE316C"/>
    <w:rsid w:val="00AE3953"/>
    <w:rsid w:val="00AE4DE2"/>
    <w:rsid w:val="00AE52A1"/>
    <w:rsid w:val="00AE6CBB"/>
    <w:rsid w:val="00AF2ADC"/>
    <w:rsid w:val="00AF2BE1"/>
    <w:rsid w:val="00AF32C2"/>
    <w:rsid w:val="00AF4B20"/>
    <w:rsid w:val="00AF526A"/>
    <w:rsid w:val="00AF5F6A"/>
    <w:rsid w:val="00B00068"/>
    <w:rsid w:val="00B03EBA"/>
    <w:rsid w:val="00B0400B"/>
    <w:rsid w:val="00B04F90"/>
    <w:rsid w:val="00B05CA0"/>
    <w:rsid w:val="00B078B4"/>
    <w:rsid w:val="00B105AB"/>
    <w:rsid w:val="00B11699"/>
    <w:rsid w:val="00B139E3"/>
    <w:rsid w:val="00B15692"/>
    <w:rsid w:val="00B170FA"/>
    <w:rsid w:val="00B17EDD"/>
    <w:rsid w:val="00B22E18"/>
    <w:rsid w:val="00B250F4"/>
    <w:rsid w:val="00B2587D"/>
    <w:rsid w:val="00B26ABC"/>
    <w:rsid w:val="00B270AC"/>
    <w:rsid w:val="00B27189"/>
    <w:rsid w:val="00B323AF"/>
    <w:rsid w:val="00B33CE6"/>
    <w:rsid w:val="00B352F1"/>
    <w:rsid w:val="00B3745E"/>
    <w:rsid w:val="00B37796"/>
    <w:rsid w:val="00B40F2A"/>
    <w:rsid w:val="00B438B0"/>
    <w:rsid w:val="00B464BB"/>
    <w:rsid w:val="00B50943"/>
    <w:rsid w:val="00B50CCC"/>
    <w:rsid w:val="00B50F92"/>
    <w:rsid w:val="00B525C2"/>
    <w:rsid w:val="00B53439"/>
    <w:rsid w:val="00B60294"/>
    <w:rsid w:val="00B61A0D"/>
    <w:rsid w:val="00B6226C"/>
    <w:rsid w:val="00B62412"/>
    <w:rsid w:val="00B63058"/>
    <w:rsid w:val="00B632A1"/>
    <w:rsid w:val="00B65224"/>
    <w:rsid w:val="00B65B3F"/>
    <w:rsid w:val="00B663CA"/>
    <w:rsid w:val="00B67CF9"/>
    <w:rsid w:val="00B70B81"/>
    <w:rsid w:val="00B70D12"/>
    <w:rsid w:val="00B71914"/>
    <w:rsid w:val="00B721CA"/>
    <w:rsid w:val="00B76834"/>
    <w:rsid w:val="00B77350"/>
    <w:rsid w:val="00B800C5"/>
    <w:rsid w:val="00B86D37"/>
    <w:rsid w:val="00B91BB9"/>
    <w:rsid w:val="00B93288"/>
    <w:rsid w:val="00B94A55"/>
    <w:rsid w:val="00B96088"/>
    <w:rsid w:val="00B966C2"/>
    <w:rsid w:val="00B9683D"/>
    <w:rsid w:val="00B96CDF"/>
    <w:rsid w:val="00BA04C1"/>
    <w:rsid w:val="00BB108B"/>
    <w:rsid w:val="00BB2B0A"/>
    <w:rsid w:val="00BB3A2E"/>
    <w:rsid w:val="00BB4B6F"/>
    <w:rsid w:val="00BB6616"/>
    <w:rsid w:val="00BB6FB4"/>
    <w:rsid w:val="00BC05CD"/>
    <w:rsid w:val="00BC1A3A"/>
    <w:rsid w:val="00BC2566"/>
    <w:rsid w:val="00BC2E1C"/>
    <w:rsid w:val="00BC3872"/>
    <w:rsid w:val="00BC42F7"/>
    <w:rsid w:val="00BC4F25"/>
    <w:rsid w:val="00BD00DC"/>
    <w:rsid w:val="00BD0D7A"/>
    <w:rsid w:val="00BD17C7"/>
    <w:rsid w:val="00BD2ED0"/>
    <w:rsid w:val="00BD4814"/>
    <w:rsid w:val="00BD48A8"/>
    <w:rsid w:val="00BD68FA"/>
    <w:rsid w:val="00BD73A8"/>
    <w:rsid w:val="00BD7466"/>
    <w:rsid w:val="00BD7A14"/>
    <w:rsid w:val="00BD7FF0"/>
    <w:rsid w:val="00BE21EA"/>
    <w:rsid w:val="00BE5806"/>
    <w:rsid w:val="00BE68FF"/>
    <w:rsid w:val="00BE6E55"/>
    <w:rsid w:val="00BF15A3"/>
    <w:rsid w:val="00BF2151"/>
    <w:rsid w:val="00BF2526"/>
    <w:rsid w:val="00BF4305"/>
    <w:rsid w:val="00BF4A60"/>
    <w:rsid w:val="00BF6C03"/>
    <w:rsid w:val="00BF7005"/>
    <w:rsid w:val="00C05F01"/>
    <w:rsid w:val="00C06776"/>
    <w:rsid w:val="00C06AB7"/>
    <w:rsid w:val="00C07366"/>
    <w:rsid w:val="00C0777E"/>
    <w:rsid w:val="00C07893"/>
    <w:rsid w:val="00C07D97"/>
    <w:rsid w:val="00C100F0"/>
    <w:rsid w:val="00C116F2"/>
    <w:rsid w:val="00C15269"/>
    <w:rsid w:val="00C16344"/>
    <w:rsid w:val="00C164BB"/>
    <w:rsid w:val="00C174AF"/>
    <w:rsid w:val="00C20502"/>
    <w:rsid w:val="00C20C82"/>
    <w:rsid w:val="00C229FB"/>
    <w:rsid w:val="00C231F5"/>
    <w:rsid w:val="00C24CA5"/>
    <w:rsid w:val="00C24D36"/>
    <w:rsid w:val="00C2557D"/>
    <w:rsid w:val="00C273C8"/>
    <w:rsid w:val="00C273CE"/>
    <w:rsid w:val="00C278A8"/>
    <w:rsid w:val="00C27C00"/>
    <w:rsid w:val="00C27C78"/>
    <w:rsid w:val="00C30C7B"/>
    <w:rsid w:val="00C312CA"/>
    <w:rsid w:val="00C347EB"/>
    <w:rsid w:val="00C34CBB"/>
    <w:rsid w:val="00C36384"/>
    <w:rsid w:val="00C36C2A"/>
    <w:rsid w:val="00C36DD2"/>
    <w:rsid w:val="00C40D34"/>
    <w:rsid w:val="00C425C9"/>
    <w:rsid w:val="00C42C26"/>
    <w:rsid w:val="00C4527A"/>
    <w:rsid w:val="00C5047C"/>
    <w:rsid w:val="00C51528"/>
    <w:rsid w:val="00C5239F"/>
    <w:rsid w:val="00C533A2"/>
    <w:rsid w:val="00C53F22"/>
    <w:rsid w:val="00C54AFC"/>
    <w:rsid w:val="00C56146"/>
    <w:rsid w:val="00C562F6"/>
    <w:rsid w:val="00C6111A"/>
    <w:rsid w:val="00C61C8E"/>
    <w:rsid w:val="00C62824"/>
    <w:rsid w:val="00C62872"/>
    <w:rsid w:val="00C62DA1"/>
    <w:rsid w:val="00C637FC"/>
    <w:rsid w:val="00C65BFF"/>
    <w:rsid w:val="00C66720"/>
    <w:rsid w:val="00C7080A"/>
    <w:rsid w:val="00C710DC"/>
    <w:rsid w:val="00C7374C"/>
    <w:rsid w:val="00C74952"/>
    <w:rsid w:val="00C75359"/>
    <w:rsid w:val="00C76061"/>
    <w:rsid w:val="00C76245"/>
    <w:rsid w:val="00C769B3"/>
    <w:rsid w:val="00C77525"/>
    <w:rsid w:val="00C823B6"/>
    <w:rsid w:val="00C83C93"/>
    <w:rsid w:val="00C86509"/>
    <w:rsid w:val="00C8768B"/>
    <w:rsid w:val="00C87C85"/>
    <w:rsid w:val="00C87F43"/>
    <w:rsid w:val="00C9181C"/>
    <w:rsid w:val="00C92E2F"/>
    <w:rsid w:val="00C93691"/>
    <w:rsid w:val="00C940C6"/>
    <w:rsid w:val="00C948E1"/>
    <w:rsid w:val="00C94A0B"/>
    <w:rsid w:val="00C95006"/>
    <w:rsid w:val="00C96F2D"/>
    <w:rsid w:val="00CA09EF"/>
    <w:rsid w:val="00CA25D8"/>
    <w:rsid w:val="00CB1578"/>
    <w:rsid w:val="00CB50EC"/>
    <w:rsid w:val="00CB76FF"/>
    <w:rsid w:val="00CC0F3A"/>
    <w:rsid w:val="00CC1BB2"/>
    <w:rsid w:val="00CC2EEC"/>
    <w:rsid w:val="00CC331B"/>
    <w:rsid w:val="00CC3680"/>
    <w:rsid w:val="00CC41E6"/>
    <w:rsid w:val="00CC4C12"/>
    <w:rsid w:val="00CC6507"/>
    <w:rsid w:val="00CC7C8A"/>
    <w:rsid w:val="00CC7CC0"/>
    <w:rsid w:val="00CD0B74"/>
    <w:rsid w:val="00CD1174"/>
    <w:rsid w:val="00CD24BC"/>
    <w:rsid w:val="00CD4580"/>
    <w:rsid w:val="00CD60A3"/>
    <w:rsid w:val="00CD60BE"/>
    <w:rsid w:val="00CD65BC"/>
    <w:rsid w:val="00CD7F41"/>
    <w:rsid w:val="00CE08D6"/>
    <w:rsid w:val="00CE4A79"/>
    <w:rsid w:val="00CE4B59"/>
    <w:rsid w:val="00CE6E3F"/>
    <w:rsid w:val="00CF0733"/>
    <w:rsid w:val="00CF40C5"/>
    <w:rsid w:val="00CF4593"/>
    <w:rsid w:val="00D00A72"/>
    <w:rsid w:val="00D00B78"/>
    <w:rsid w:val="00D00F1D"/>
    <w:rsid w:val="00D01522"/>
    <w:rsid w:val="00D046FC"/>
    <w:rsid w:val="00D05812"/>
    <w:rsid w:val="00D06C3F"/>
    <w:rsid w:val="00D10779"/>
    <w:rsid w:val="00D10E98"/>
    <w:rsid w:val="00D114F6"/>
    <w:rsid w:val="00D125F3"/>
    <w:rsid w:val="00D141CA"/>
    <w:rsid w:val="00D145BF"/>
    <w:rsid w:val="00D14978"/>
    <w:rsid w:val="00D14ACA"/>
    <w:rsid w:val="00D1512D"/>
    <w:rsid w:val="00D154EE"/>
    <w:rsid w:val="00D16290"/>
    <w:rsid w:val="00D167DD"/>
    <w:rsid w:val="00D172B9"/>
    <w:rsid w:val="00D17A37"/>
    <w:rsid w:val="00D20268"/>
    <w:rsid w:val="00D203E4"/>
    <w:rsid w:val="00D204F5"/>
    <w:rsid w:val="00D206ED"/>
    <w:rsid w:val="00D207B1"/>
    <w:rsid w:val="00D22554"/>
    <w:rsid w:val="00D23501"/>
    <w:rsid w:val="00D24A7F"/>
    <w:rsid w:val="00D26D69"/>
    <w:rsid w:val="00D26D9A"/>
    <w:rsid w:val="00D27849"/>
    <w:rsid w:val="00D30E9B"/>
    <w:rsid w:val="00D31142"/>
    <w:rsid w:val="00D32A66"/>
    <w:rsid w:val="00D337CC"/>
    <w:rsid w:val="00D37378"/>
    <w:rsid w:val="00D422F5"/>
    <w:rsid w:val="00D42752"/>
    <w:rsid w:val="00D427BE"/>
    <w:rsid w:val="00D43401"/>
    <w:rsid w:val="00D5135A"/>
    <w:rsid w:val="00D53DA8"/>
    <w:rsid w:val="00D55670"/>
    <w:rsid w:val="00D55721"/>
    <w:rsid w:val="00D55EC1"/>
    <w:rsid w:val="00D560AD"/>
    <w:rsid w:val="00D56F0E"/>
    <w:rsid w:val="00D6338B"/>
    <w:rsid w:val="00D638E3"/>
    <w:rsid w:val="00D66C40"/>
    <w:rsid w:val="00D715DF"/>
    <w:rsid w:val="00D7286F"/>
    <w:rsid w:val="00D73558"/>
    <w:rsid w:val="00D73964"/>
    <w:rsid w:val="00D75224"/>
    <w:rsid w:val="00D754E5"/>
    <w:rsid w:val="00D76986"/>
    <w:rsid w:val="00D76E67"/>
    <w:rsid w:val="00D77B38"/>
    <w:rsid w:val="00D81B30"/>
    <w:rsid w:val="00D8235E"/>
    <w:rsid w:val="00D834FD"/>
    <w:rsid w:val="00D83935"/>
    <w:rsid w:val="00D83A0C"/>
    <w:rsid w:val="00D86B90"/>
    <w:rsid w:val="00D90DBB"/>
    <w:rsid w:val="00D935AA"/>
    <w:rsid w:val="00D93B2D"/>
    <w:rsid w:val="00D9488C"/>
    <w:rsid w:val="00D95C3C"/>
    <w:rsid w:val="00D9705D"/>
    <w:rsid w:val="00DA064D"/>
    <w:rsid w:val="00DA35D9"/>
    <w:rsid w:val="00DA5382"/>
    <w:rsid w:val="00DB0C02"/>
    <w:rsid w:val="00DB139C"/>
    <w:rsid w:val="00DB4697"/>
    <w:rsid w:val="00DB565C"/>
    <w:rsid w:val="00DB7A06"/>
    <w:rsid w:val="00DB7CD1"/>
    <w:rsid w:val="00DC123B"/>
    <w:rsid w:val="00DC3DC8"/>
    <w:rsid w:val="00DD26D3"/>
    <w:rsid w:val="00DD30E7"/>
    <w:rsid w:val="00DD5501"/>
    <w:rsid w:val="00DD764B"/>
    <w:rsid w:val="00DE1376"/>
    <w:rsid w:val="00DE279F"/>
    <w:rsid w:val="00DE3181"/>
    <w:rsid w:val="00DE3361"/>
    <w:rsid w:val="00DE539E"/>
    <w:rsid w:val="00DE6035"/>
    <w:rsid w:val="00DE68B1"/>
    <w:rsid w:val="00DE6AEC"/>
    <w:rsid w:val="00DF07C7"/>
    <w:rsid w:val="00DF0CA9"/>
    <w:rsid w:val="00DF383A"/>
    <w:rsid w:val="00DF4112"/>
    <w:rsid w:val="00DF576B"/>
    <w:rsid w:val="00E0065D"/>
    <w:rsid w:val="00E0068E"/>
    <w:rsid w:val="00E02460"/>
    <w:rsid w:val="00E103F5"/>
    <w:rsid w:val="00E10D40"/>
    <w:rsid w:val="00E11D55"/>
    <w:rsid w:val="00E15621"/>
    <w:rsid w:val="00E16A3E"/>
    <w:rsid w:val="00E16FDC"/>
    <w:rsid w:val="00E20AA2"/>
    <w:rsid w:val="00E20F66"/>
    <w:rsid w:val="00E220A3"/>
    <w:rsid w:val="00E22DA7"/>
    <w:rsid w:val="00E24375"/>
    <w:rsid w:val="00E25DAF"/>
    <w:rsid w:val="00E2764C"/>
    <w:rsid w:val="00E276BD"/>
    <w:rsid w:val="00E27A22"/>
    <w:rsid w:val="00E30F4A"/>
    <w:rsid w:val="00E31195"/>
    <w:rsid w:val="00E311A2"/>
    <w:rsid w:val="00E31448"/>
    <w:rsid w:val="00E316D8"/>
    <w:rsid w:val="00E3267E"/>
    <w:rsid w:val="00E33644"/>
    <w:rsid w:val="00E33EF6"/>
    <w:rsid w:val="00E35300"/>
    <w:rsid w:val="00E355BC"/>
    <w:rsid w:val="00E36CCB"/>
    <w:rsid w:val="00E37DE2"/>
    <w:rsid w:val="00E4058F"/>
    <w:rsid w:val="00E40CA6"/>
    <w:rsid w:val="00E460B4"/>
    <w:rsid w:val="00E4629C"/>
    <w:rsid w:val="00E47319"/>
    <w:rsid w:val="00E47C4B"/>
    <w:rsid w:val="00E502E5"/>
    <w:rsid w:val="00E5189F"/>
    <w:rsid w:val="00E52467"/>
    <w:rsid w:val="00E5393A"/>
    <w:rsid w:val="00E54717"/>
    <w:rsid w:val="00E54D51"/>
    <w:rsid w:val="00E54D66"/>
    <w:rsid w:val="00E55771"/>
    <w:rsid w:val="00E56443"/>
    <w:rsid w:val="00E5661D"/>
    <w:rsid w:val="00E602C5"/>
    <w:rsid w:val="00E60C6C"/>
    <w:rsid w:val="00E6518A"/>
    <w:rsid w:val="00E67A92"/>
    <w:rsid w:val="00E70A60"/>
    <w:rsid w:val="00E72384"/>
    <w:rsid w:val="00E74EB5"/>
    <w:rsid w:val="00E751EB"/>
    <w:rsid w:val="00E75C35"/>
    <w:rsid w:val="00E770EF"/>
    <w:rsid w:val="00E87BA1"/>
    <w:rsid w:val="00E90CAD"/>
    <w:rsid w:val="00E91008"/>
    <w:rsid w:val="00E9389E"/>
    <w:rsid w:val="00EA11D8"/>
    <w:rsid w:val="00EA252D"/>
    <w:rsid w:val="00EA2C4A"/>
    <w:rsid w:val="00EA3230"/>
    <w:rsid w:val="00EA4804"/>
    <w:rsid w:val="00EA5CB7"/>
    <w:rsid w:val="00EA7DB2"/>
    <w:rsid w:val="00EB226A"/>
    <w:rsid w:val="00EB2ADC"/>
    <w:rsid w:val="00EB2F95"/>
    <w:rsid w:val="00EB3FEA"/>
    <w:rsid w:val="00EB4301"/>
    <w:rsid w:val="00EB57D6"/>
    <w:rsid w:val="00EB5E78"/>
    <w:rsid w:val="00EB71B1"/>
    <w:rsid w:val="00EB7373"/>
    <w:rsid w:val="00EB7C7E"/>
    <w:rsid w:val="00EC21CC"/>
    <w:rsid w:val="00EC2BDD"/>
    <w:rsid w:val="00EC5E56"/>
    <w:rsid w:val="00EC669E"/>
    <w:rsid w:val="00ED1157"/>
    <w:rsid w:val="00ED1E74"/>
    <w:rsid w:val="00ED1F8D"/>
    <w:rsid w:val="00ED2BED"/>
    <w:rsid w:val="00ED3D00"/>
    <w:rsid w:val="00ED40F5"/>
    <w:rsid w:val="00ED4208"/>
    <w:rsid w:val="00ED4392"/>
    <w:rsid w:val="00ED7AF1"/>
    <w:rsid w:val="00EE0A20"/>
    <w:rsid w:val="00EE0A51"/>
    <w:rsid w:val="00EE16F7"/>
    <w:rsid w:val="00EE202F"/>
    <w:rsid w:val="00EE5A8B"/>
    <w:rsid w:val="00EE66BA"/>
    <w:rsid w:val="00EE7701"/>
    <w:rsid w:val="00EF0106"/>
    <w:rsid w:val="00EF398F"/>
    <w:rsid w:val="00EF3C83"/>
    <w:rsid w:val="00EF4729"/>
    <w:rsid w:val="00EF6158"/>
    <w:rsid w:val="00EF6A02"/>
    <w:rsid w:val="00F00ED2"/>
    <w:rsid w:val="00F015E6"/>
    <w:rsid w:val="00F02074"/>
    <w:rsid w:val="00F02091"/>
    <w:rsid w:val="00F0299F"/>
    <w:rsid w:val="00F0752F"/>
    <w:rsid w:val="00F10D30"/>
    <w:rsid w:val="00F11B3A"/>
    <w:rsid w:val="00F11FFE"/>
    <w:rsid w:val="00F12D71"/>
    <w:rsid w:val="00F1380D"/>
    <w:rsid w:val="00F14742"/>
    <w:rsid w:val="00F159F9"/>
    <w:rsid w:val="00F226CA"/>
    <w:rsid w:val="00F22C9D"/>
    <w:rsid w:val="00F24D64"/>
    <w:rsid w:val="00F25FC2"/>
    <w:rsid w:val="00F267C3"/>
    <w:rsid w:val="00F26DCF"/>
    <w:rsid w:val="00F27EF8"/>
    <w:rsid w:val="00F317AF"/>
    <w:rsid w:val="00F33853"/>
    <w:rsid w:val="00F33F72"/>
    <w:rsid w:val="00F33FF5"/>
    <w:rsid w:val="00F352C4"/>
    <w:rsid w:val="00F36620"/>
    <w:rsid w:val="00F36630"/>
    <w:rsid w:val="00F369EA"/>
    <w:rsid w:val="00F404E5"/>
    <w:rsid w:val="00F42703"/>
    <w:rsid w:val="00F42C8D"/>
    <w:rsid w:val="00F42E7A"/>
    <w:rsid w:val="00F435AD"/>
    <w:rsid w:val="00F43C00"/>
    <w:rsid w:val="00F45CED"/>
    <w:rsid w:val="00F4644A"/>
    <w:rsid w:val="00F53041"/>
    <w:rsid w:val="00F54E28"/>
    <w:rsid w:val="00F556EA"/>
    <w:rsid w:val="00F561FE"/>
    <w:rsid w:val="00F57E8E"/>
    <w:rsid w:val="00F62B4A"/>
    <w:rsid w:val="00F63FE0"/>
    <w:rsid w:val="00F64248"/>
    <w:rsid w:val="00F669AE"/>
    <w:rsid w:val="00F67135"/>
    <w:rsid w:val="00F701B1"/>
    <w:rsid w:val="00F707B1"/>
    <w:rsid w:val="00F726EC"/>
    <w:rsid w:val="00F73518"/>
    <w:rsid w:val="00F73947"/>
    <w:rsid w:val="00F73C6B"/>
    <w:rsid w:val="00F75DD1"/>
    <w:rsid w:val="00F77662"/>
    <w:rsid w:val="00F77F9B"/>
    <w:rsid w:val="00F8023D"/>
    <w:rsid w:val="00F814D4"/>
    <w:rsid w:val="00F817F9"/>
    <w:rsid w:val="00F81D06"/>
    <w:rsid w:val="00F82FEA"/>
    <w:rsid w:val="00F83105"/>
    <w:rsid w:val="00F84D54"/>
    <w:rsid w:val="00F8544D"/>
    <w:rsid w:val="00F867A1"/>
    <w:rsid w:val="00F86891"/>
    <w:rsid w:val="00F86B74"/>
    <w:rsid w:val="00F90A76"/>
    <w:rsid w:val="00F92007"/>
    <w:rsid w:val="00F94D08"/>
    <w:rsid w:val="00F94F9E"/>
    <w:rsid w:val="00F9646B"/>
    <w:rsid w:val="00FA0942"/>
    <w:rsid w:val="00FA0BD0"/>
    <w:rsid w:val="00FA0D22"/>
    <w:rsid w:val="00FA11D7"/>
    <w:rsid w:val="00FA1C4A"/>
    <w:rsid w:val="00FA1E77"/>
    <w:rsid w:val="00FA29D0"/>
    <w:rsid w:val="00FA73E1"/>
    <w:rsid w:val="00FB0249"/>
    <w:rsid w:val="00FB12F6"/>
    <w:rsid w:val="00FB2671"/>
    <w:rsid w:val="00FB303D"/>
    <w:rsid w:val="00FB3DB9"/>
    <w:rsid w:val="00FB4CAB"/>
    <w:rsid w:val="00FB5283"/>
    <w:rsid w:val="00FC00DD"/>
    <w:rsid w:val="00FC08F8"/>
    <w:rsid w:val="00FC196B"/>
    <w:rsid w:val="00FC2685"/>
    <w:rsid w:val="00FC285F"/>
    <w:rsid w:val="00FC4174"/>
    <w:rsid w:val="00FC5973"/>
    <w:rsid w:val="00FC6838"/>
    <w:rsid w:val="00FC6F30"/>
    <w:rsid w:val="00FC70B3"/>
    <w:rsid w:val="00FC750A"/>
    <w:rsid w:val="00FC77AD"/>
    <w:rsid w:val="00FC7C3E"/>
    <w:rsid w:val="00FD0C74"/>
    <w:rsid w:val="00FD0C85"/>
    <w:rsid w:val="00FD1C96"/>
    <w:rsid w:val="00FD334A"/>
    <w:rsid w:val="00FD363B"/>
    <w:rsid w:val="00FD373F"/>
    <w:rsid w:val="00FD4EF0"/>
    <w:rsid w:val="00FD7CF2"/>
    <w:rsid w:val="00FE2033"/>
    <w:rsid w:val="00FE3095"/>
    <w:rsid w:val="00FE3377"/>
    <w:rsid w:val="00FE5DFA"/>
    <w:rsid w:val="00FF3115"/>
    <w:rsid w:val="00FF47B8"/>
    <w:rsid w:val="00FF587E"/>
    <w:rsid w:val="00FF5D2F"/>
    <w:rsid w:val="00FF5EBD"/>
    <w:rsid w:val="00FF6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1E00"/>
    <w:rPr>
      <w:sz w:val="24"/>
      <w:szCs w:val="24"/>
    </w:rPr>
  </w:style>
  <w:style w:type="paragraph" w:styleId="Heading1">
    <w:name w:val="heading 1"/>
    <w:basedOn w:val="Normal"/>
    <w:next w:val="Normal"/>
    <w:link w:val="Heading1Char"/>
    <w:uiPriority w:val="99"/>
    <w:qFormat/>
    <w:rsid w:val="00AC7C1C"/>
    <w:pPr>
      <w:keepNext/>
      <w:jc w:val="center"/>
      <w:outlineLvl w:val="0"/>
    </w:pPr>
    <w:rPr>
      <w:rFonts w:ascii="Courier" w:hAnsi="Courier"/>
      <w:b/>
      <w:szCs w:val="20"/>
    </w:rPr>
  </w:style>
  <w:style w:type="paragraph" w:styleId="Heading2">
    <w:name w:val="heading 2"/>
    <w:basedOn w:val="Normal"/>
    <w:next w:val="Normal"/>
    <w:link w:val="Heading2Char"/>
    <w:uiPriority w:val="99"/>
    <w:qFormat/>
    <w:rsid w:val="00AC7C1C"/>
    <w:pPr>
      <w:keepNext/>
      <w:jc w:val="right"/>
      <w:outlineLvl w:val="1"/>
    </w:pPr>
    <w:rPr>
      <w:rFonts w:ascii="Arial" w:hAnsi="Arial"/>
      <w:b/>
      <w:sz w:val="20"/>
      <w:szCs w:val="20"/>
      <w:u w:val="single"/>
    </w:rPr>
  </w:style>
  <w:style w:type="paragraph" w:styleId="Heading3">
    <w:name w:val="heading 3"/>
    <w:basedOn w:val="Normal"/>
    <w:next w:val="Normal"/>
    <w:link w:val="Heading3Char"/>
    <w:uiPriority w:val="99"/>
    <w:qFormat/>
    <w:rsid w:val="00AC7C1C"/>
    <w:pPr>
      <w:keepNext/>
      <w:tabs>
        <w:tab w:val="left" w:pos="540"/>
      </w:tabs>
      <w:autoSpaceDE w:val="0"/>
      <w:autoSpaceDN w:val="0"/>
      <w:adjustRightInd w:val="0"/>
      <w:outlineLvl w:val="2"/>
    </w:pPr>
    <w:rPr>
      <w:b/>
      <w:bCs/>
      <w:color w:val="000000"/>
    </w:rPr>
  </w:style>
  <w:style w:type="paragraph" w:styleId="Heading4">
    <w:name w:val="heading 4"/>
    <w:basedOn w:val="Normal"/>
    <w:next w:val="Normal"/>
    <w:link w:val="Heading4Char"/>
    <w:uiPriority w:val="99"/>
    <w:qFormat/>
    <w:rsid w:val="00AC7C1C"/>
    <w:pPr>
      <w:keepNext/>
      <w:tabs>
        <w:tab w:val="num" w:pos="1080"/>
      </w:tabs>
      <w:ind w:left="1080" w:hanging="720"/>
      <w:outlineLvl w:val="3"/>
    </w:pPr>
    <w:rPr>
      <w:rFonts w:ascii="Courier New" w:hAnsi="Courier New"/>
      <w:b/>
      <w:szCs w:val="20"/>
    </w:rPr>
  </w:style>
  <w:style w:type="paragraph" w:styleId="Heading5">
    <w:name w:val="heading 5"/>
    <w:basedOn w:val="Normal"/>
    <w:next w:val="Normal"/>
    <w:link w:val="Heading5Char"/>
    <w:uiPriority w:val="99"/>
    <w:qFormat/>
    <w:rsid w:val="00AC7C1C"/>
    <w:pPr>
      <w:keepNext/>
      <w:outlineLvl w:val="4"/>
    </w:pPr>
    <w:rPr>
      <w:b/>
      <w:bCs/>
      <w:sz w:val="18"/>
    </w:rPr>
  </w:style>
  <w:style w:type="paragraph" w:styleId="Heading6">
    <w:name w:val="heading 6"/>
    <w:basedOn w:val="Normal"/>
    <w:next w:val="Normal"/>
    <w:link w:val="Heading6Char"/>
    <w:uiPriority w:val="99"/>
    <w:qFormat/>
    <w:rsid w:val="00AC7C1C"/>
    <w:pPr>
      <w:keepNext/>
      <w:numPr>
        <w:numId w:val="7"/>
      </w:numPr>
      <w:outlineLvl w:val="5"/>
    </w:pPr>
    <w:rPr>
      <w:b/>
      <w:szCs w:val="20"/>
    </w:rPr>
  </w:style>
  <w:style w:type="paragraph" w:styleId="Heading7">
    <w:name w:val="heading 7"/>
    <w:basedOn w:val="Normal"/>
    <w:next w:val="Normal"/>
    <w:link w:val="Heading7Char1"/>
    <w:qFormat/>
    <w:rsid w:val="00AC7C1C"/>
    <w:pPr>
      <w:keepNext/>
      <w:jc w:val="center"/>
      <w:outlineLvl w:val="6"/>
    </w:pPr>
    <w:rPr>
      <w:szCs w:val="20"/>
    </w:rPr>
  </w:style>
  <w:style w:type="paragraph" w:styleId="Heading8">
    <w:name w:val="heading 8"/>
    <w:basedOn w:val="Normal"/>
    <w:next w:val="Normal"/>
    <w:link w:val="Heading8Char"/>
    <w:uiPriority w:val="99"/>
    <w:qFormat/>
    <w:rsid w:val="00AC7C1C"/>
    <w:pPr>
      <w:keepNext/>
      <w:tabs>
        <w:tab w:val="right" w:pos="8928"/>
      </w:tabs>
      <w:jc w:val="center"/>
      <w:outlineLvl w:val="7"/>
    </w:pPr>
    <w:rPr>
      <w:rFonts w:ascii="Arial" w:hAnsi="Arial" w:cs="Arial"/>
      <w:b/>
      <w:sz w:val="48"/>
    </w:rPr>
  </w:style>
  <w:style w:type="paragraph" w:styleId="Heading9">
    <w:name w:val="heading 9"/>
    <w:basedOn w:val="Normal"/>
    <w:next w:val="Normal"/>
    <w:link w:val="Heading9Char"/>
    <w:uiPriority w:val="99"/>
    <w:qFormat/>
    <w:rsid w:val="00AC7C1C"/>
    <w:pPr>
      <w:keepNext/>
      <w:ind w:left="720"/>
      <w:outlineLvl w:val="8"/>
    </w:pPr>
    <w:rPr>
      <w:rFonts w:ascii="Courier" w:hAnsi="Courie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263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B263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B263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B263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B2633"/>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7B2633"/>
    <w:rPr>
      <w:b/>
      <w:sz w:val="24"/>
    </w:rPr>
  </w:style>
  <w:style w:type="character" w:customStyle="1" w:styleId="Heading7Char1">
    <w:name w:val="Heading 7 Char1"/>
    <w:basedOn w:val="DefaultParagraphFont"/>
    <w:link w:val="Heading7"/>
    <w:uiPriority w:val="9"/>
    <w:locked/>
    <w:rsid w:val="007B263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B263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B2633"/>
    <w:rPr>
      <w:rFonts w:ascii="Cambria" w:hAnsi="Cambria" w:cs="Times New Roman"/>
    </w:rPr>
  </w:style>
  <w:style w:type="paragraph" w:styleId="BalloonText">
    <w:name w:val="Balloon Text"/>
    <w:basedOn w:val="Normal"/>
    <w:link w:val="BalloonTextChar"/>
    <w:uiPriority w:val="99"/>
    <w:semiHidden/>
    <w:rsid w:val="00AC7C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2633"/>
    <w:rPr>
      <w:rFonts w:cs="Times New Roman"/>
      <w:sz w:val="2"/>
    </w:rPr>
  </w:style>
  <w:style w:type="paragraph" w:styleId="Footer">
    <w:name w:val="footer"/>
    <w:basedOn w:val="Normal"/>
    <w:link w:val="FooterChar"/>
    <w:uiPriority w:val="99"/>
    <w:rsid w:val="00AC7C1C"/>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character" w:customStyle="1" w:styleId="FooterChar">
    <w:name w:val="Footer Char"/>
    <w:basedOn w:val="DefaultParagraphFont"/>
    <w:link w:val="Footer"/>
    <w:uiPriority w:val="99"/>
    <w:locked/>
    <w:rsid w:val="007B2633"/>
    <w:rPr>
      <w:rFonts w:cs="Times New Roman"/>
      <w:sz w:val="24"/>
      <w:szCs w:val="24"/>
    </w:rPr>
  </w:style>
  <w:style w:type="paragraph" w:customStyle="1" w:styleId="xl19">
    <w:name w:val="xl19"/>
    <w:basedOn w:val="Normal"/>
    <w:rsid w:val="00AC7C1C"/>
    <w:pPr>
      <w:spacing w:before="100" w:after="100"/>
    </w:pPr>
    <w:rPr>
      <w:szCs w:val="20"/>
    </w:rPr>
  </w:style>
  <w:style w:type="paragraph" w:customStyle="1" w:styleId="APP-3A">
    <w:name w:val="APP-3A"/>
    <w:uiPriority w:val="99"/>
    <w:rsid w:val="00AC7C1C"/>
    <w:rPr>
      <w:rFonts w:ascii="Arial" w:hAnsi="Arial"/>
      <w:b/>
    </w:rPr>
  </w:style>
  <w:style w:type="paragraph" w:customStyle="1" w:styleId="xl33">
    <w:name w:val="xl33"/>
    <w:basedOn w:val="Normal"/>
    <w:uiPriority w:val="99"/>
    <w:rsid w:val="00AC7C1C"/>
    <w:pPr>
      <w:spacing w:before="100" w:after="100"/>
      <w:jc w:val="center"/>
    </w:pPr>
    <w:rPr>
      <w:rFonts w:ascii="Arial" w:hAnsi="Arial"/>
      <w:b/>
      <w:szCs w:val="20"/>
    </w:rPr>
  </w:style>
  <w:style w:type="paragraph" w:styleId="BodyText">
    <w:name w:val="Body Text"/>
    <w:aliases w:val="Hanging,body text,bt,heading3,NCDOT Body Text,1body,BodText,Body Txt,FL IND"/>
    <w:basedOn w:val="Normal"/>
    <w:link w:val="BodyTextChar"/>
    <w:rsid w:val="00AC7C1C"/>
    <w:rPr>
      <w:szCs w:val="20"/>
    </w:rPr>
  </w:style>
  <w:style w:type="character" w:customStyle="1" w:styleId="BodyTextChar">
    <w:name w:val="Body Text Char"/>
    <w:aliases w:val="Hanging Char,body text Char,bt Char,heading3 Char,NCDOT Body Text Char,1body Char,BodText Char,Body Txt Char,FL IND Char"/>
    <w:basedOn w:val="DefaultParagraphFont"/>
    <w:link w:val="BodyText"/>
    <w:locked/>
    <w:rsid w:val="007B2633"/>
    <w:rPr>
      <w:rFonts w:cs="Times New Roman"/>
      <w:sz w:val="24"/>
      <w:szCs w:val="24"/>
    </w:rPr>
  </w:style>
  <w:style w:type="paragraph" w:customStyle="1" w:styleId="xl27">
    <w:name w:val="xl27"/>
    <w:basedOn w:val="Normal"/>
    <w:uiPriority w:val="99"/>
    <w:rsid w:val="00AC7C1C"/>
    <w:pPr>
      <w:spacing w:before="100" w:after="100"/>
    </w:pPr>
    <w:rPr>
      <w:rFonts w:ascii="Arial" w:hAnsi="Arial"/>
      <w:b/>
      <w:szCs w:val="20"/>
    </w:rPr>
  </w:style>
  <w:style w:type="paragraph" w:styleId="FootnoteText">
    <w:name w:val="footnote text"/>
    <w:basedOn w:val="Normal"/>
    <w:link w:val="FootnoteTextChar"/>
    <w:uiPriority w:val="99"/>
    <w:semiHidden/>
    <w:rsid w:val="00AC7C1C"/>
    <w:rPr>
      <w:sz w:val="20"/>
      <w:szCs w:val="20"/>
    </w:rPr>
  </w:style>
  <w:style w:type="character" w:customStyle="1" w:styleId="FootnoteTextChar">
    <w:name w:val="Footnote Text Char"/>
    <w:basedOn w:val="DefaultParagraphFont"/>
    <w:link w:val="FootnoteText"/>
    <w:uiPriority w:val="99"/>
    <w:semiHidden/>
    <w:locked/>
    <w:rsid w:val="00515EC3"/>
    <w:rPr>
      <w:rFonts w:cs="Times New Roman"/>
      <w:lang w:val="en-US" w:eastAsia="en-US" w:bidi="ar-SA"/>
    </w:rPr>
  </w:style>
  <w:style w:type="paragraph" w:customStyle="1" w:styleId="xl34">
    <w:name w:val="xl34"/>
    <w:basedOn w:val="Normal"/>
    <w:uiPriority w:val="99"/>
    <w:rsid w:val="00AC7C1C"/>
    <w:pPr>
      <w:spacing w:before="100" w:after="100"/>
      <w:jc w:val="center"/>
    </w:pPr>
    <w:rPr>
      <w:b/>
      <w:sz w:val="20"/>
      <w:szCs w:val="20"/>
    </w:rPr>
  </w:style>
  <w:style w:type="paragraph" w:styleId="Title">
    <w:name w:val="Title"/>
    <w:basedOn w:val="Normal"/>
    <w:link w:val="TitleChar1"/>
    <w:uiPriority w:val="99"/>
    <w:qFormat/>
    <w:rsid w:val="00AC7C1C"/>
    <w:pPr>
      <w:ind w:left="720"/>
      <w:jc w:val="center"/>
    </w:pPr>
    <w:rPr>
      <w:b/>
      <w:i/>
      <w:szCs w:val="20"/>
    </w:rPr>
  </w:style>
  <w:style w:type="character" w:customStyle="1" w:styleId="TitleChar1">
    <w:name w:val="Title Char1"/>
    <w:basedOn w:val="DefaultParagraphFont"/>
    <w:link w:val="Title"/>
    <w:uiPriority w:val="99"/>
    <w:locked/>
    <w:rsid w:val="007B2633"/>
    <w:rPr>
      <w:rFonts w:ascii="Cambria" w:hAnsi="Cambria" w:cs="Times New Roman"/>
      <w:b/>
      <w:bCs/>
      <w:kern w:val="28"/>
      <w:sz w:val="32"/>
      <w:szCs w:val="32"/>
    </w:rPr>
  </w:style>
  <w:style w:type="paragraph" w:styleId="BodyText2">
    <w:name w:val="Body Text 2"/>
    <w:basedOn w:val="Normal"/>
    <w:link w:val="BodyText2Char"/>
    <w:uiPriority w:val="99"/>
    <w:rsid w:val="00AC7C1C"/>
    <w:rPr>
      <w:sz w:val="20"/>
      <w:szCs w:val="20"/>
    </w:rPr>
  </w:style>
  <w:style w:type="character" w:customStyle="1" w:styleId="BodyText2Char">
    <w:name w:val="Body Text 2 Char"/>
    <w:basedOn w:val="DefaultParagraphFont"/>
    <w:link w:val="BodyText2"/>
    <w:uiPriority w:val="99"/>
    <w:semiHidden/>
    <w:locked/>
    <w:rsid w:val="007B2633"/>
    <w:rPr>
      <w:rFonts w:cs="Times New Roman"/>
      <w:sz w:val="24"/>
      <w:szCs w:val="24"/>
    </w:rPr>
  </w:style>
  <w:style w:type="paragraph" w:styleId="Header">
    <w:name w:val="header"/>
    <w:basedOn w:val="Normal"/>
    <w:link w:val="HeaderChar"/>
    <w:uiPriority w:val="99"/>
    <w:rsid w:val="00AC7C1C"/>
    <w:pPr>
      <w:tabs>
        <w:tab w:val="center" w:pos="4320"/>
        <w:tab w:val="right" w:pos="8640"/>
      </w:tabs>
    </w:pPr>
    <w:rPr>
      <w:rFonts w:ascii="CG Times" w:hAnsi="CG Times"/>
      <w:szCs w:val="20"/>
    </w:rPr>
  </w:style>
  <w:style w:type="character" w:customStyle="1" w:styleId="HeaderChar">
    <w:name w:val="Header Char"/>
    <w:basedOn w:val="DefaultParagraphFont"/>
    <w:link w:val="Header"/>
    <w:uiPriority w:val="99"/>
    <w:semiHidden/>
    <w:locked/>
    <w:rsid w:val="007B2633"/>
    <w:rPr>
      <w:rFonts w:cs="Times New Roman"/>
      <w:sz w:val="24"/>
      <w:szCs w:val="24"/>
    </w:rPr>
  </w:style>
  <w:style w:type="paragraph" w:customStyle="1" w:styleId="xl24">
    <w:name w:val="xl24"/>
    <w:basedOn w:val="Normal"/>
    <w:rsid w:val="00AC7C1C"/>
    <w:pPr>
      <w:spacing w:before="100" w:after="100"/>
    </w:pPr>
    <w:rPr>
      <w:szCs w:val="20"/>
      <w:u w:val="single"/>
    </w:rPr>
  </w:style>
  <w:style w:type="paragraph" w:styleId="BodyText3">
    <w:name w:val="Body Text 3"/>
    <w:basedOn w:val="Normal"/>
    <w:link w:val="BodyText3Char"/>
    <w:uiPriority w:val="99"/>
    <w:rsid w:val="00AC7C1C"/>
    <w:rPr>
      <w:color w:val="000000"/>
      <w:szCs w:val="20"/>
    </w:rPr>
  </w:style>
  <w:style w:type="character" w:customStyle="1" w:styleId="BodyText3Char">
    <w:name w:val="Body Text 3 Char"/>
    <w:basedOn w:val="DefaultParagraphFont"/>
    <w:link w:val="BodyText3"/>
    <w:uiPriority w:val="99"/>
    <w:semiHidden/>
    <w:locked/>
    <w:rsid w:val="007B2633"/>
    <w:rPr>
      <w:rFonts w:cs="Times New Roman"/>
      <w:sz w:val="16"/>
      <w:szCs w:val="16"/>
    </w:rPr>
  </w:style>
  <w:style w:type="paragraph" w:customStyle="1" w:styleId="xl22">
    <w:name w:val="xl22"/>
    <w:basedOn w:val="Normal"/>
    <w:uiPriority w:val="99"/>
    <w:rsid w:val="00AC7C1C"/>
    <w:pPr>
      <w:spacing w:before="100" w:after="100"/>
      <w:jc w:val="center"/>
    </w:pPr>
    <w:rPr>
      <w:szCs w:val="20"/>
      <w:u w:val="single"/>
    </w:rPr>
  </w:style>
  <w:style w:type="paragraph" w:styleId="TOC1">
    <w:name w:val="toc 1"/>
    <w:basedOn w:val="Normal"/>
    <w:next w:val="Normal"/>
    <w:autoRedefine/>
    <w:uiPriority w:val="99"/>
    <w:semiHidden/>
    <w:rsid w:val="00AC7C1C"/>
    <w:pPr>
      <w:jc w:val="right"/>
    </w:pPr>
    <w:rPr>
      <w:szCs w:val="20"/>
    </w:rPr>
  </w:style>
  <w:style w:type="paragraph" w:styleId="TOAHeading">
    <w:name w:val="toa heading"/>
    <w:basedOn w:val="Normal"/>
    <w:next w:val="Normal"/>
    <w:uiPriority w:val="99"/>
    <w:semiHidden/>
    <w:rsid w:val="00AC7C1C"/>
    <w:pPr>
      <w:widowControl w:val="0"/>
      <w:tabs>
        <w:tab w:val="right" w:pos="9360"/>
      </w:tabs>
      <w:suppressAutoHyphens/>
    </w:pPr>
    <w:rPr>
      <w:rFonts w:ascii="Courier New" w:hAnsi="Courier New"/>
      <w:sz w:val="20"/>
      <w:szCs w:val="20"/>
    </w:rPr>
  </w:style>
  <w:style w:type="character" w:styleId="PageNumber">
    <w:name w:val="page number"/>
    <w:basedOn w:val="DefaultParagraphFont"/>
    <w:rsid w:val="00AC7C1C"/>
    <w:rPr>
      <w:rFonts w:cs="Times New Roman"/>
    </w:rPr>
  </w:style>
  <w:style w:type="paragraph" w:styleId="BodyTextIndent">
    <w:name w:val="Body Text Indent"/>
    <w:basedOn w:val="Normal"/>
    <w:link w:val="BodyTextIndentChar"/>
    <w:uiPriority w:val="99"/>
    <w:rsid w:val="00AC7C1C"/>
    <w:pPr>
      <w:tabs>
        <w:tab w:val="left" w:leader="dot" w:pos="7920"/>
        <w:tab w:val="right" w:pos="8640"/>
      </w:tabs>
      <w:ind w:left="720"/>
    </w:pPr>
    <w:rPr>
      <w:bCs/>
      <w:i/>
      <w:iCs/>
    </w:rPr>
  </w:style>
  <w:style w:type="character" w:customStyle="1" w:styleId="BodyTextIndentChar">
    <w:name w:val="Body Text Indent Char"/>
    <w:basedOn w:val="DefaultParagraphFont"/>
    <w:link w:val="BodyTextIndent"/>
    <w:uiPriority w:val="99"/>
    <w:semiHidden/>
    <w:locked/>
    <w:rsid w:val="007B2633"/>
    <w:rPr>
      <w:rFonts w:cs="Times New Roman"/>
      <w:sz w:val="24"/>
      <w:szCs w:val="24"/>
    </w:rPr>
  </w:style>
  <w:style w:type="paragraph" w:styleId="List2">
    <w:name w:val="List 2"/>
    <w:basedOn w:val="Normal"/>
    <w:uiPriority w:val="99"/>
    <w:rsid w:val="00E0065D"/>
    <w:pPr>
      <w:ind w:left="720" w:hanging="360"/>
    </w:pPr>
  </w:style>
  <w:style w:type="paragraph" w:styleId="List3">
    <w:name w:val="List 3"/>
    <w:basedOn w:val="Normal"/>
    <w:uiPriority w:val="99"/>
    <w:rsid w:val="00E0065D"/>
    <w:pPr>
      <w:ind w:left="1080" w:hanging="360"/>
    </w:pPr>
  </w:style>
  <w:style w:type="paragraph" w:styleId="ListBullet2">
    <w:name w:val="List Bullet 2"/>
    <w:basedOn w:val="Normal"/>
    <w:uiPriority w:val="99"/>
    <w:rsid w:val="00E0065D"/>
    <w:pPr>
      <w:numPr>
        <w:numId w:val="2"/>
      </w:numPr>
      <w:tabs>
        <w:tab w:val="num" w:pos="1080"/>
      </w:tabs>
    </w:pPr>
  </w:style>
  <w:style w:type="paragraph" w:styleId="BodyTextFirstIndent2">
    <w:name w:val="Body Text First Indent 2"/>
    <w:basedOn w:val="BodyTextIndent"/>
    <w:link w:val="BodyTextFirstIndent2Char"/>
    <w:uiPriority w:val="99"/>
    <w:rsid w:val="00E0065D"/>
    <w:pPr>
      <w:tabs>
        <w:tab w:val="clear" w:pos="7920"/>
        <w:tab w:val="clear" w:pos="8640"/>
      </w:tabs>
      <w:spacing w:after="120"/>
      <w:ind w:left="360" w:firstLine="210"/>
    </w:pPr>
    <w:rPr>
      <w:bCs w:val="0"/>
      <w:i w:val="0"/>
      <w:iCs w:val="0"/>
    </w:rPr>
  </w:style>
  <w:style w:type="character" w:customStyle="1" w:styleId="BodyTextFirstIndent2Char">
    <w:name w:val="Body Text First Indent 2 Char"/>
    <w:basedOn w:val="BodyTextIndentChar"/>
    <w:link w:val="BodyTextFirstIndent2"/>
    <w:uiPriority w:val="99"/>
    <w:semiHidden/>
    <w:locked/>
    <w:rsid w:val="007B2633"/>
  </w:style>
  <w:style w:type="table" w:styleId="TableGrid">
    <w:name w:val="Table Grid"/>
    <w:basedOn w:val="TableNormal"/>
    <w:uiPriority w:val="99"/>
    <w:rsid w:val="00875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82951"/>
    <w:rPr>
      <w:rFonts w:cs="Times New Roman"/>
      <w:sz w:val="16"/>
      <w:szCs w:val="16"/>
    </w:rPr>
  </w:style>
  <w:style w:type="paragraph" w:styleId="CommentText">
    <w:name w:val="annotation text"/>
    <w:basedOn w:val="Normal"/>
    <w:link w:val="CommentTextChar"/>
    <w:uiPriority w:val="99"/>
    <w:semiHidden/>
    <w:rsid w:val="00282951"/>
    <w:rPr>
      <w:sz w:val="20"/>
      <w:szCs w:val="20"/>
    </w:rPr>
  </w:style>
  <w:style w:type="character" w:customStyle="1" w:styleId="CommentTextChar">
    <w:name w:val="Comment Text Char"/>
    <w:basedOn w:val="DefaultParagraphFont"/>
    <w:link w:val="CommentText"/>
    <w:uiPriority w:val="99"/>
    <w:semiHidden/>
    <w:locked/>
    <w:rsid w:val="00A64ADF"/>
    <w:rPr>
      <w:rFonts w:cs="Times New Roman"/>
    </w:rPr>
  </w:style>
  <w:style w:type="paragraph" w:styleId="CommentSubject">
    <w:name w:val="annotation subject"/>
    <w:basedOn w:val="CommentText"/>
    <w:next w:val="CommentText"/>
    <w:link w:val="CommentSubjectChar"/>
    <w:uiPriority w:val="99"/>
    <w:semiHidden/>
    <w:rsid w:val="00282951"/>
    <w:rPr>
      <w:b/>
      <w:bCs/>
    </w:rPr>
  </w:style>
  <w:style w:type="character" w:customStyle="1" w:styleId="CommentSubjectChar">
    <w:name w:val="Comment Subject Char"/>
    <w:basedOn w:val="CommentTextChar"/>
    <w:link w:val="CommentSubject"/>
    <w:uiPriority w:val="99"/>
    <w:semiHidden/>
    <w:locked/>
    <w:rsid w:val="007B2633"/>
    <w:rPr>
      <w:b/>
      <w:bCs/>
      <w:sz w:val="20"/>
      <w:szCs w:val="20"/>
    </w:rPr>
  </w:style>
  <w:style w:type="character" w:styleId="Hyperlink">
    <w:name w:val="Hyperlink"/>
    <w:basedOn w:val="DefaultParagraphFont"/>
    <w:uiPriority w:val="99"/>
    <w:rsid w:val="000845EA"/>
    <w:rPr>
      <w:rFonts w:cs="Times New Roman"/>
      <w:color w:val="0000FF"/>
      <w:u w:val="single"/>
    </w:rPr>
  </w:style>
  <w:style w:type="paragraph" w:styleId="DocumentMap">
    <w:name w:val="Document Map"/>
    <w:basedOn w:val="Normal"/>
    <w:link w:val="DocumentMapChar"/>
    <w:uiPriority w:val="99"/>
    <w:semiHidden/>
    <w:rsid w:val="003E370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B2633"/>
    <w:rPr>
      <w:rFonts w:cs="Times New Roman"/>
      <w:sz w:val="2"/>
    </w:rPr>
  </w:style>
  <w:style w:type="character" w:styleId="FootnoteReference">
    <w:name w:val="footnote reference"/>
    <w:basedOn w:val="DefaultParagraphFont"/>
    <w:uiPriority w:val="99"/>
    <w:semiHidden/>
    <w:rsid w:val="00465890"/>
    <w:rPr>
      <w:rFonts w:cs="Times New Roman"/>
      <w:vertAlign w:val="superscript"/>
    </w:rPr>
  </w:style>
  <w:style w:type="paragraph" w:customStyle="1" w:styleId="00Bodytext">
    <w:name w:val="00 Body text"/>
    <w:basedOn w:val="Normal"/>
    <w:uiPriority w:val="99"/>
    <w:rsid w:val="007C1942"/>
    <w:pPr>
      <w:autoSpaceDE w:val="0"/>
      <w:autoSpaceDN w:val="0"/>
      <w:adjustRightInd w:val="0"/>
      <w:spacing w:after="240"/>
    </w:pPr>
    <w:rPr>
      <w:rFonts w:ascii="Times" w:hAnsi="Times"/>
      <w:color w:val="000000"/>
      <w:sz w:val="22"/>
      <w:szCs w:val="20"/>
    </w:rPr>
  </w:style>
  <w:style w:type="paragraph" w:customStyle="1" w:styleId="Default">
    <w:name w:val="Default"/>
    <w:uiPriority w:val="99"/>
    <w:rsid w:val="007C1942"/>
    <w:pPr>
      <w:autoSpaceDE w:val="0"/>
      <w:autoSpaceDN w:val="0"/>
      <w:adjustRightInd w:val="0"/>
    </w:pPr>
    <w:rPr>
      <w:color w:val="000000"/>
      <w:sz w:val="24"/>
      <w:szCs w:val="24"/>
    </w:rPr>
  </w:style>
  <w:style w:type="paragraph" w:customStyle="1" w:styleId="CM4">
    <w:name w:val="CM4"/>
    <w:basedOn w:val="Default"/>
    <w:next w:val="Default"/>
    <w:uiPriority w:val="99"/>
    <w:rsid w:val="00F561FE"/>
    <w:pPr>
      <w:spacing w:line="253" w:lineRule="atLeast"/>
    </w:pPr>
    <w:rPr>
      <w:rFonts w:ascii="Arial" w:hAnsi="Arial"/>
      <w:color w:val="auto"/>
    </w:rPr>
  </w:style>
  <w:style w:type="paragraph" w:customStyle="1" w:styleId="CM43">
    <w:name w:val="CM43"/>
    <w:basedOn w:val="Default"/>
    <w:next w:val="Default"/>
    <w:uiPriority w:val="99"/>
    <w:rsid w:val="00F561FE"/>
    <w:pPr>
      <w:spacing w:after="213"/>
    </w:pPr>
    <w:rPr>
      <w:rFonts w:ascii="Arial" w:hAnsi="Arial"/>
      <w:color w:val="auto"/>
    </w:rPr>
  </w:style>
  <w:style w:type="character" w:styleId="FollowedHyperlink">
    <w:name w:val="FollowedHyperlink"/>
    <w:basedOn w:val="DefaultParagraphFont"/>
    <w:uiPriority w:val="99"/>
    <w:rsid w:val="0071714A"/>
    <w:rPr>
      <w:rFonts w:cs="Times New Roman"/>
      <w:color w:val="606420"/>
      <w:u w:val="single"/>
    </w:rPr>
  </w:style>
  <w:style w:type="character" w:customStyle="1" w:styleId="Heading7Char">
    <w:name w:val="Heading 7 Char"/>
    <w:basedOn w:val="DefaultParagraphFont"/>
    <w:semiHidden/>
    <w:locked/>
    <w:rsid w:val="001819C3"/>
    <w:rPr>
      <w:rFonts w:ascii="Calibri" w:hAnsi="Calibri" w:cs="Times New Roman"/>
      <w:sz w:val="24"/>
      <w:szCs w:val="24"/>
    </w:rPr>
  </w:style>
  <w:style w:type="character" w:customStyle="1" w:styleId="TitleChar">
    <w:name w:val="Title Char"/>
    <w:basedOn w:val="DefaultParagraphFont"/>
    <w:locked/>
    <w:rsid w:val="004E52EB"/>
    <w:rPr>
      <w:rFonts w:ascii="Times New Roman" w:hAnsi="Times New Roman" w:cs="Times New Roman"/>
      <w:b/>
      <w:i/>
      <w:sz w:val="20"/>
      <w:szCs w:val="20"/>
    </w:rPr>
  </w:style>
  <w:style w:type="paragraph" w:styleId="ListParagraph">
    <w:name w:val="List Paragraph"/>
    <w:basedOn w:val="Normal"/>
    <w:uiPriority w:val="34"/>
    <w:qFormat/>
    <w:rsid w:val="00AB14EA"/>
    <w:pPr>
      <w:ind w:left="720"/>
      <w:contextualSpacing/>
    </w:pPr>
  </w:style>
  <w:style w:type="paragraph" w:styleId="PlainText">
    <w:name w:val="Plain Text"/>
    <w:basedOn w:val="Normal"/>
    <w:link w:val="PlainTextChar"/>
    <w:uiPriority w:val="99"/>
    <w:unhideWhenUsed/>
    <w:locked/>
    <w:rsid w:val="00731B77"/>
    <w:rPr>
      <w:rFonts w:ascii="Consolas" w:eastAsiaTheme="minorHAnsi" w:hAnsi="Consolas" w:cstheme="minorBidi"/>
      <w:sz w:val="28"/>
      <w:szCs w:val="21"/>
    </w:rPr>
  </w:style>
  <w:style w:type="character" w:customStyle="1" w:styleId="PlainTextChar">
    <w:name w:val="Plain Text Char"/>
    <w:basedOn w:val="DefaultParagraphFont"/>
    <w:link w:val="PlainText"/>
    <w:uiPriority w:val="99"/>
    <w:rsid w:val="00731B77"/>
    <w:rPr>
      <w:rFonts w:ascii="Consolas" w:eastAsiaTheme="minorHAnsi" w:hAnsi="Consolas" w:cstheme="minorBidi"/>
      <w:sz w:val="28"/>
      <w:szCs w:val="21"/>
    </w:rPr>
  </w:style>
  <w:style w:type="paragraph" w:styleId="Revision">
    <w:name w:val="Revision"/>
    <w:hidden/>
    <w:uiPriority w:val="99"/>
    <w:semiHidden/>
    <w:rsid w:val="00E9389E"/>
    <w:rPr>
      <w:sz w:val="24"/>
      <w:szCs w:val="24"/>
    </w:rPr>
  </w:style>
  <w:style w:type="paragraph" w:styleId="NormalWeb">
    <w:name w:val="Normal (Web)"/>
    <w:aliases w:val="Normal (Web) Char"/>
    <w:basedOn w:val="Normal"/>
    <w:uiPriority w:val="99"/>
    <w:locked/>
    <w:rsid w:val="00EF3C83"/>
    <w:pPr>
      <w:widowControl w:val="0"/>
      <w:adjustRightInd w:val="0"/>
      <w:spacing w:before="100" w:beforeAutospacing="1" w:after="100" w:afterAutospacing="1" w:line="360" w:lineRule="atLeast"/>
      <w:jc w:val="both"/>
      <w:textAlignment w:val="baseline"/>
    </w:pPr>
    <w:rPr>
      <w:color w:val="000000"/>
    </w:rPr>
  </w:style>
</w:styles>
</file>

<file path=word/webSettings.xml><?xml version="1.0" encoding="utf-8"?>
<w:webSettings xmlns:r="http://schemas.openxmlformats.org/officeDocument/2006/relationships" xmlns:w="http://schemas.openxmlformats.org/wordprocessingml/2006/main">
  <w:divs>
    <w:div w:id="35858690">
      <w:bodyDiv w:val="1"/>
      <w:marLeft w:val="0"/>
      <w:marRight w:val="0"/>
      <w:marTop w:val="0"/>
      <w:marBottom w:val="0"/>
      <w:divBdr>
        <w:top w:val="none" w:sz="0" w:space="0" w:color="auto"/>
        <w:left w:val="none" w:sz="0" w:space="0" w:color="auto"/>
        <w:bottom w:val="none" w:sz="0" w:space="0" w:color="auto"/>
        <w:right w:val="none" w:sz="0" w:space="0" w:color="auto"/>
      </w:divBdr>
    </w:div>
    <w:div w:id="444734838">
      <w:bodyDiv w:val="1"/>
      <w:marLeft w:val="0"/>
      <w:marRight w:val="0"/>
      <w:marTop w:val="0"/>
      <w:marBottom w:val="0"/>
      <w:divBdr>
        <w:top w:val="none" w:sz="0" w:space="0" w:color="auto"/>
        <w:left w:val="none" w:sz="0" w:space="0" w:color="auto"/>
        <w:bottom w:val="none" w:sz="0" w:space="0" w:color="auto"/>
        <w:right w:val="none" w:sz="0" w:space="0" w:color="auto"/>
      </w:divBdr>
    </w:div>
    <w:div w:id="954867418">
      <w:bodyDiv w:val="1"/>
      <w:marLeft w:val="0"/>
      <w:marRight w:val="0"/>
      <w:marTop w:val="0"/>
      <w:marBottom w:val="0"/>
      <w:divBdr>
        <w:top w:val="none" w:sz="0" w:space="0" w:color="auto"/>
        <w:left w:val="none" w:sz="0" w:space="0" w:color="auto"/>
        <w:bottom w:val="none" w:sz="0" w:space="0" w:color="auto"/>
        <w:right w:val="none" w:sz="0" w:space="0" w:color="auto"/>
      </w:divBdr>
    </w:div>
    <w:div w:id="1199316122">
      <w:bodyDiv w:val="1"/>
      <w:marLeft w:val="0"/>
      <w:marRight w:val="0"/>
      <w:marTop w:val="0"/>
      <w:marBottom w:val="0"/>
      <w:divBdr>
        <w:top w:val="none" w:sz="0" w:space="0" w:color="auto"/>
        <w:left w:val="none" w:sz="0" w:space="0" w:color="auto"/>
        <w:bottom w:val="none" w:sz="0" w:space="0" w:color="auto"/>
        <w:right w:val="none" w:sz="0" w:space="0" w:color="auto"/>
      </w:divBdr>
    </w:div>
    <w:div w:id="1215000819">
      <w:bodyDiv w:val="1"/>
      <w:marLeft w:val="0"/>
      <w:marRight w:val="0"/>
      <w:marTop w:val="0"/>
      <w:marBottom w:val="0"/>
      <w:divBdr>
        <w:top w:val="none" w:sz="0" w:space="0" w:color="auto"/>
        <w:left w:val="none" w:sz="0" w:space="0" w:color="auto"/>
        <w:bottom w:val="none" w:sz="0" w:space="0" w:color="auto"/>
        <w:right w:val="none" w:sz="0" w:space="0" w:color="auto"/>
      </w:divBdr>
    </w:div>
    <w:div w:id="1319068185">
      <w:bodyDiv w:val="1"/>
      <w:marLeft w:val="0"/>
      <w:marRight w:val="0"/>
      <w:marTop w:val="0"/>
      <w:marBottom w:val="0"/>
      <w:divBdr>
        <w:top w:val="none" w:sz="0" w:space="0" w:color="auto"/>
        <w:left w:val="none" w:sz="0" w:space="0" w:color="auto"/>
        <w:bottom w:val="none" w:sz="0" w:space="0" w:color="auto"/>
        <w:right w:val="none" w:sz="0" w:space="0" w:color="auto"/>
      </w:divBdr>
    </w:div>
    <w:div w:id="1464035312">
      <w:bodyDiv w:val="1"/>
      <w:marLeft w:val="0"/>
      <w:marRight w:val="0"/>
      <w:marTop w:val="0"/>
      <w:marBottom w:val="0"/>
      <w:divBdr>
        <w:top w:val="none" w:sz="0" w:space="0" w:color="auto"/>
        <w:left w:val="none" w:sz="0" w:space="0" w:color="auto"/>
        <w:bottom w:val="none" w:sz="0" w:space="0" w:color="auto"/>
        <w:right w:val="none" w:sz="0" w:space="0" w:color="auto"/>
      </w:divBdr>
    </w:div>
    <w:div w:id="1501194099">
      <w:bodyDiv w:val="1"/>
      <w:marLeft w:val="0"/>
      <w:marRight w:val="0"/>
      <w:marTop w:val="0"/>
      <w:marBottom w:val="0"/>
      <w:divBdr>
        <w:top w:val="none" w:sz="0" w:space="0" w:color="auto"/>
        <w:left w:val="none" w:sz="0" w:space="0" w:color="auto"/>
        <w:bottom w:val="none" w:sz="0" w:space="0" w:color="auto"/>
        <w:right w:val="none" w:sz="0" w:space="0" w:color="auto"/>
      </w:divBdr>
    </w:div>
    <w:div w:id="1549144154">
      <w:bodyDiv w:val="1"/>
      <w:marLeft w:val="0"/>
      <w:marRight w:val="0"/>
      <w:marTop w:val="0"/>
      <w:marBottom w:val="0"/>
      <w:divBdr>
        <w:top w:val="none" w:sz="0" w:space="0" w:color="auto"/>
        <w:left w:val="none" w:sz="0" w:space="0" w:color="auto"/>
        <w:bottom w:val="none" w:sz="0" w:space="0" w:color="auto"/>
        <w:right w:val="none" w:sz="0" w:space="0" w:color="auto"/>
      </w:divBdr>
    </w:div>
    <w:div w:id="1569916868">
      <w:bodyDiv w:val="1"/>
      <w:marLeft w:val="0"/>
      <w:marRight w:val="0"/>
      <w:marTop w:val="0"/>
      <w:marBottom w:val="0"/>
      <w:divBdr>
        <w:top w:val="none" w:sz="0" w:space="0" w:color="auto"/>
        <w:left w:val="none" w:sz="0" w:space="0" w:color="auto"/>
        <w:bottom w:val="none" w:sz="0" w:space="0" w:color="auto"/>
        <w:right w:val="none" w:sz="0" w:space="0" w:color="auto"/>
      </w:divBdr>
    </w:div>
    <w:div w:id="1652832497">
      <w:bodyDiv w:val="1"/>
      <w:marLeft w:val="0"/>
      <w:marRight w:val="0"/>
      <w:marTop w:val="0"/>
      <w:marBottom w:val="0"/>
      <w:divBdr>
        <w:top w:val="none" w:sz="0" w:space="0" w:color="auto"/>
        <w:left w:val="none" w:sz="0" w:space="0" w:color="auto"/>
        <w:bottom w:val="none" w:sz="0" w:space="0" w:color="auto"/>
        <w:right w:val="none" w:sz="0" w:space="0" w:color="auto"/>
      </w:divBdr>
    </w:div>
    <w:div w:id="1729257381">
      <w:bodyDiv w:val="1"/>
      <w:marLeft w:val="0"/>
      <w:marRight w:val="0"/>
      <w:marTop w:val="0"/>
      <w:marBottom w:val="0"/>
      <w:divBdr>
        <w:top w:val="none" w:sz="0" w:space="0" w:color="auto"/>
        <w:left w:val="none" w:sz="0" w:space="0" w:color="auto"/>
        <w:bottom w:val="none" w:sz="0" w:space="0" w:color="auto"/>
        <w:right w:val="none" w:sz="0" w:space="0" w:color="auto"/>
      </w:divBdr>
    </w:div>
    <w:div w:id="1792936817">
      <w:marLeft w:val="0"/>
      <w:marRight w:val="0"/>
      <w:marTop w:val="0"/>
      <w:marBottom w:val="0"/>
      <w:divBdr>
        <w:top w:val="none" w:sz="0" w:space="0" w:color="auto"/>
        <w:left w:val="none" w:sz="0" w:space="0" w:color="auto"/>
        <w:bottom w:val="none" w:sz="0" w:space="0" w:color="auto"/>
        <w:right w:val="none" w:sz="0" w:space="0" w:color="auto"/>
      </w:divBdr>
    </w:div>
    <w:div w:id="1792936818">
      <w:marLeft w:val="0"/>
      <w:marRight w:val="0"/>
      <w:marTop w:val="0"/>
      <w:marBottom w:val="0"/>
      <w:divBdr>
        <w:top w:val="none" w:sz="0" w:space="0" w:color="auto"/>
        <w:left w:val="none" w:sz="0" w:space="0" w:color="auto"/>
        <w:bottom w:val="none" w:sz="0" w:space="0" w:color="auto"/>
        <w:right w:val="none" w:sz="0" w:space="0" w:color="auto"/>
      </w:divBdr>
    </w:div>
    <w:div w:id="1792936819">
      <w:marLeft w:val="0"/>
      <w:marRight w:val="0"/>
      <w:marTop w:val="0"/>
      <w:marBottom w:val="0"/>
      <w:divBdr>
        <w:top w:val="none" w:sz="0" w:space="0" w:color="auto"/>
        <w:left w:val="none" w:sz="0" w:space="0" w:color="auto"/>
        <w:bottom w:val="none" w:sz="0" w:space="0" w:color="auto"/>
        <w:right w:val="none" w:sz="0" w:space="0" w:color="auto"/>
      </w:divBdr>
    </w:div>
    <w:div w:id="1792936820">
      <w:marLeft w:val="0"/>
      <w:marRight w:val="0"/>
      <w:marTop w:val="0"/>
      <w:marBottom w:val="0"/>
      <w:divBdr>
        <w:top w:val="none" w:sz="0" w:space="0" w:color="auto"/>
        <w:left w:val="none" w:sz="0" w:space="0" w:color="auto"/>
        <w:bottom w:val="none" w:sz="0" w:space="0" w:color="auto"/>
        <w:right w:val="none" w:sz="0" w:space="0" w:color="auto"/>
      </w:divBdr>
    </w:div>
    <w:div w:id="1792936821">
      <w:marLeft w:val="0"/>
      <w:marRight w:val="0"/>
      <w:marTop w:val="0"/>
      <w:marBottom w:val="0"/>
      <w:divBdr>
        <w:top w:val="none" w:sz="0" w:space="0" w:color="auto"/>
        <w:left w:val="none" w:sz="0" w:space="0" w:color="auto"/>
        <w:bottom w:val="none" w:sz="0" w:space="0" w:color="auto"/>
        <w:right w:val="none" w:sz="0" w:space="0" w:color="auto"/>
      </w:divBdr>
    </w:div>
    <w:div w:id="1792936822">
      <w:marLeft w:val="0"/>
      <w:marRight w:val="0"/>
      <w:marTop w:val="0"/>
      <w:marBottom w:val="0"/>
      <w:divBdr>
        <w:top w:val="none" w:sz="0" w:space="0" w:color="auto"/>
        <w:left w:val="none" w:sz="0" w:space="0" w:color="auto"/>
        <w:bottom w:val="none" w:sz="0" w:space="0" w:color="auto"/>
        <w:right w:val="none" w:sz="0" w:space="0" w:color="auto"/>
      </w:divBdr>
    </w:div>
    <w:div w:id="1923684543">
      <w:bodyDiv w:val="1"/>
      <w:marLeft w:val="0"/>
      <w:marRight w:val="0"/>
      <w:marTop w:val="0"/>
      <w:marBottom w:val="0"/>
      <w:divBdr>
        <w:top w:val="none" w:sz="0" w:space="0" w:color="auto"/>
        <w:left w:val="none" w:sz="0" w:space="0" w:color="auto"/>
        <w:bottom w:val="none" w:sz="0" w:space="0" w:color="auto"/>
        <w:right w:val="none" w:sz="0" w:space="0" w:color="auto"/>
      </w:divBdr>
    </w:div>
    <w:div w:id="2025550907">
      <w:bodyDiv w:val="1"/>
      <w:marLeft w:val="0"/>
      <w:marRight w:val="0"/>
      <w:marTop w:val="0"/>
      <w:marBottom w:val="0"/>
      <w:divBdr>
        <w:top w:val="none" w:sz="0" w:space="0" w:color="auto"/>
        <w:left w:val="none" w:sz="0" w:space="0" w:color="auto"/>
        <w:bottom w:val="none" w:sz="0" w:space="0" w:color="auto"/>
        <w:right w:val="none" w:sz="0" w:space="0" w:color="auto"/>
      </w:divBdr>
    </w:div>
    <w:div w:id="214272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oleObject" Target="embeddings/Microsoft_Office_Excel_97-2003_Worksheet2.xls"/><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Office_Excel_97-2003_Worksheet1.xls"/><Relationship Id="rId20" Type="http://schemas.openxmlformats.org/officeDocument/2006/relationships/oleObject" Target="embeddings/Microsoft_Office_Excel_97-2003_Worksheet3.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gov/02organizations/bpp.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08DF-6660-4B9F-BAF4-F4507665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28</Pages>
  <Words>8957</Words>
  <Characters>53972</Characters>
  <Application>Microsoft Office Word</Application>
  <DocSecurity>0</DocSecurity>
  <Lines>449</Lines>
  <Paragraphs>125</Paragraphs>
  <ScaleCrop>false</ScaleCrop>
  <HeadingPairs>
    <vt:vector size="2" baseType="variant">
      <vt:variant>
        <vt:lpstr>Title</vt:lpstr>
      </vt:variant>
      <vt:variant>
        <vt:i4>1</vt:i4>
      </vt:variant>
    </vt:vector>
  </HeadingPairs>
  <TitlesOfParts>
    <vt:vector size="1" baseType="lpstr">
      <vt:lpstr>DRAFT</vt:lpstr>
    </vt:vector>
  </TitlesOfParts>
  <Company>Department of Justice</Company>
  <LinksUpToDate>false</LinksUpToDate>
  <CharactersWithSpaces>62804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Anna Dolores Martinez</dc:creator>
  <cp:lastModifiedBy>rlindsay</cp:lastModifiedBy>
  <cp:revision>5</cp:revision>
  <cp:lastPrinted>2012-02-08T18:30:00Z</cp:lastPrinted>
  <dcterms:created xsi:type="dcterms:W3CDTF">2012-02-08T18:29:00Z</dcterms:created>
  <dcterms:modified xsi:type="dcterms:W3CDTF">2012-02-09T15:11:00Z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