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1B" w:rsidRPr="00273F14" w:rsidRDefault="00B220C4">
      <w:pPr>
        <w:pStyle w:val="Footer"/>
        <w:tabs>
          <w:tab w:val="clear" w:pos="8640"/>
          <w:tab w:val="left" w:leader="dot" w:pos="4320"/>
        </w:tabs>
        <w:jc w:val="center"/>
        <w:rPr>
          <w:rFonts w:ascii="Times New Roman" w:hAnsi="Times New Roman"/>
          <w:b/>
          <w:sz w:val="36"/>
        </w:rPr>
      </w:pPr>
      <w:r w:rsidRPr="00273F14">
        <w:rPr>
          <w:rFonts w:ascii="Times New Roman" w:hAnsi="Times New Roman"/>
          <w:b/>
          <w:sz w:val="36"/>
        </w:rPr>
        <w:t>Congressional Submission</w:t>
      </w: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224A36" w:rsidRPr="00273F14" w:rsidRDefault="00224A36">
      <w:pPr>
        <w:pStyle w:val="Footer"/>
        <w:tabs>
          <w:tab w:val="clear" w:pos="8640"/>
          <w:tab w:val="left" w:leader="dot" w:pos="4320"/>
        </w:tabs>
        <w:jc w:val="center"/>
        <w:rPr>
          <w:rFonts w:ascii="Times New Roman" w:hAnsi="Times New Roman"/>
          <w:b/>
          <w:sz w:val="36"/>
        </w:rPr>
      </w:pPr>
      <w:r w:rsidRPr="00273F14">
        <w:rPr>
          <w:rFonts w:ascii="Times New Roman" w:hAnsi="Times New Roman"/>
          <w:b/>
          <w:sz w:val="36"/>
        </w:rPr>
        <w:t>U.S. Department of Justice</w:t>
      </w:r>
    </w:p>
    <w:p w:rsidR="00B220C4" w:rsidRPr="00273F14" w:rsidRDefault="00B220C4">
      <w:pPr>
        <w:pStyle w:val="Footer"/>
        <w:tabs>
          <w:tab w:val="clear" w:pos="8640"/>
          <w:tab w:val="left" w:leader="dot" w:pos="4320"/>
        </w:tabs>
        <w:jc w:val="center"/>
        <w:rPr>
          <w:rFonts w:ascii="Times New Roman" w:hAnsi="Times New Roman"/>
          <w:b/>
          <w:sz w:val="36"/>
        </w:rPr>
      </w:pPr>
    </w:p>
    <w:p w:rsidR="00C164B2" w:rsidRPr="00273F14" w:rsidRDefault="00C164B2">
      <w:pPr>
        <w:pStyle w:val="Footer"/>
        <w:tabs>
          <w:tab w:val="clear" w:pos="8640"/>
          <w:tab w:val="left" w:leader="dot" w:pos="4320"/>
        </w:tabs>
        <w:jc w:val="center"/>
        <w:rPr>
          <w:rFonts w:ascii="Times New Roman" w:hAnsi="Times New Roman"/>
          <w:b/>
          <w:sz w:val="36"/>
        </w:rPr>
      </w:pPr>
      <w:r w:rsidRPr="00273F14">
        <w:rPr>
          <w:rFonts w:ascii="Times New Roman" w:hAnsi="Times New Roman"/>
          <w:b/>
          <w:sz w:val="36"/>
        </w:rPr>
        <w:t xml:space="preserve">Asset Forfeiture </w:t>
      </w:r>
      <w:r w:rsidR="00213A55" w:rsidRPr="00DA027A">
        <w:rPr>
          <w:rFonts w:ascii="Times New Roman" w:hAnsi="Times New Roman"/>
          <w:b/>
          <w:sz w:val="36"/>
        </w:rPr>
        <w:t>Program</w:t>
      </w:r>
    </w:p>
    <w:p w:rsidR="00BE3CA0" w:rsidRPr="00273F14" w:rsidRDefault="00BE3CA0" w:rsidP="00B220C4">
      <w:pPr>
        <w:pStyle w:val="Footer"/>
        <w:tabs>
          <w:tab w:val="clear" w:pos="8640"/>
          <w:tab w:val="left" w:leader="dot" w:pos="4320"/>
        </w:tabs>
        <w:rPr>
          <w:rFonts w:ascii="Times New Roman" w:hAnsi="Times New Roman"/>
          <w:b/>
          <w:sz w:val="36"/>
        </w:rPr>
      </w:pPr>
    </w:p>
    <w:p w:rsidR="00224A36" w:rsidRPr="00273F14" w:rsidRDefault="00224A36">
      <w:pPr>
        <w:pStyle w:val="Footer"/>
        <w:tabs>
          <w:tab w:val="clear" w:pos="8640"/>
          <w:tab w:val="left" w:leader="dot" w:pos="4320"/>
        </w:tabs>
        <w:jc w:val="center"/>
        <w:rPr>
          <w:rFonts w:ascii="Times New Roman" w:hAnsi="Times New Roman"/>
          <w:b/>
        </w:rPr>
      </w:pPr>
    </w:p>
    <w:p w:rsidR="00224A36" w:rsidRPr="00273F14" w:rsidRDefault="007C4781">
      <w:pPr>
        <w:pStyle w:val="Footer"/>
        <w:tabs>
          <w:tab w:val="clear" w:pos="8640"/>
          <w:tab w:val="left" w:leader="dot" w:pos="4320"/>
        </w:tabs>
        <w:jc w:val="center"/>
        <w:rPr>
          <w:rFonts w:ascii="Times New Roman" w:hAnsi="Times New Roman" w:cs="Arial"/>
          <w:b/>
          <w:sz w:val="36"/>
        </w:rPr>
      </w:pPr>
      <w:r w:rsidRPr="00273F14">
        <w:rPr>
          <w:rFonts w:ascii="Times New Roman" w:hAnsi="Times New Roman" w:cs="Arial"/>
          <w:b/>
          <w:sz w:val="36"/>
        </w:rPr>
        <w:t>FY 20</w:t>
      </w:r>
      <w:r w:rsidR="00A04BCB" w:rsidRPr="00273F14">
        <w:rPr>
          <w:rFonts w:ascii="Times New Roman" w:hAnsi="Times New Roman" w:cs="Arial"/>
          <w:b/>
          <w:sz w:val="36"/>
        </w:rPr>
        <w:t>1</w:t>
      </w:r>
      <w:r w:rsidR="00966C61">
        <w:rPr>
          <w:rFonts w:ascii="Times New Roman" w:hAnsi="Times New Roman" w:cs="Arial"/>
          <w:b/>
          <w:sz w:val="36"/>
        </w:rPr>
        <w:t>4</w:t>
      </w:r>
      <w:r w:rsidR="00224A36" w:rsidRPr="00273F14">
        <w:rPr>
          <w:rFonts w:ascii="Times New Roman" w:hAnsi="Times New Roman" w:cs="Arial"/>
          <w:b/>
          <w:sz w:val="36"/>
        </w:rPr>
        <w:t xml:space="preserve"> PERFORMANCE BUDGET</w:t>
      </w:r>
    </w:p>
    <w:p w:rsidR="00BE3CA0" w:rsidRPr="00273F14" w:rsidRDefault="00BE3CA0">
      <w:pPr>
        <w:pStyle w:val="Footer"/>
        <w:tabs>
          <w:tab w:val="clear" w:pos="8640"/>
          <w:tab w:val="left" w:leader="dot" w:pos="4320"/>
        </w:tabs>
        <w:jc w:val="center"/>
        <w:rPr>
          <w:rFonts w:ascii="Times New Roman" w:hAnsi="Times New Roman"/>
          <w:b/>
          <w:sz w:val="36"/>
        </w:rPr>
      </w:pPr>
    </w:p>
    <w:p w:rsidR="00BE3CA0" w:rsidRPr="00273F14" w:rsidRDefault="00BE3CA0">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B220C4" w:rsidRPr="00273F14" w:rsidRDefault="00B220C4">
      <w:pPr>
        <w:pStyle w:val="Footer"/>
        <w:tabs>
          <w:tab w:val="clear" w:pos="8640"/>
          <w:tab w:val="left" w:leader="dot" w:pos="4320"/>
        </w:tabs>
        <w:jc w:val="center"/>
        <w:rPr>
          <w:rFonts w:ascii="Times New Roman" w:hAnsi="Times New Roman"/>
          <w:b/>
          <w:sz w:val="36"/>
        </w:rPr>
      </w:pPr>
    </w:p>
    <w:p w:rsidR="00D730E0" w:rsidRPr="00273F14" w:rsidRDefault="00D730E0">
      <w:pPr>
        <w:pStyle w:val="Footer"/>
        <w:tabs>
          <w:tab w:val="clear" w:pos="8640"/>
          <w:tab w:val="left" w:leader="dot" w:pos="4320"/>
        </w:tabs>
        <w:jc w:val="center"/>
        <w:rPr>
          <w:rFonts w:ascii="Times New Roman" w:hAnsi="Times New Roman"/>
          <w:b/>
          <w:sz w:val="36"/>
        </w:rPr>
      </w:pPr>
    </w:p>
    <w:p w:rsidR="00224A36" w:rsidRPr="00273F14" w:rsidRDefault="00224A36">
      <w:pPr>
        <w:pStyle w:val="Heading1"/>
        <w:tabs>
          <w:tab w:val="left" w:leader="dot" w:pos="7920"/>
          <w:tab w:val="right" w:pos="8640"/>
        </w:tabs>
        <w:rPr>
          <w:rFonts w:ascii="Times New Roman" w:hAnsi="Times New Roman"/>
        </w:rPr>
      </w:pPr>
      <w:r w:rsidRPr="00273F14">
        <w:rPr>
          <w:rFonts w:ascii="Times New Roman" w:hAnsi="Times New Roman"/>
        </w:rPr>
        <w:lastRenderedPageBreak/>
        <w:t>Table of Contents</w:t>
      </w:r>
    </w:p>
    <w:p w:rsidR="00224A36" w:rsidRPr="00273F14" w:rsidRDefault="00224A36">
      <w:pPr>
        <w:tabs>
          <w:tab w:val="left" w:leader="dot" w:pos="7920"/>
          <w:tab w:val="right" w:pos="8640"/>
        </w:tabs>
        <w:rPr>
          <w:b/>
        </w:rPr>
      </w:pPr>
    </w:p>
    <w:p w:rsidR="00E0065D" w:rsidRPr="00273F14" w:rsidRDefault="00224A36" w:rsidP="00E0065D">
      <w:pPr>
        <w:pStyle w:val="xl19"/>
        <w:tabs>
          <w:tab w:val="right" w:pos="8730"/>
        </w:tabs>
        <w:spacing w:before="0" w:after="0"/>
        <w:outlineLvl w:val="0"/>
        <w:rPr>
          <w:rFonts w:eastAsia="Times New Roman"/>
          <w:bCs/>
        </w:rPr>
      </w:pPr>
      <w:r w:rsidRPr="00273F14">
        <w:rPr>
          <w:rFonts w:eastAsia="Times New Roman"/>
          <w:bCs/>
        </w:rPr>
        <w:tab/>
        <w:t>Page No.</w:t>
      </w:r>
    </w:p>
    <w:p w:rsidR="00E0065D" w:rsidRPr="00273F14" w:rsidRDefault="00E0065D" w:rsidP="003D44AE">
      <w:pPr>
        <w:pStyle w:val="xl19"/>
        <w:tabs>
          <w:tab w:val="right" w:pos="8730"/>
        </w:tabs>
        <w:spacing w:before="0" w:after="0"/>
        <w:outlineLvl w:val="0"/>
        <w:rPr>
          <w:rFonts w:eastAsia="Times New Roman"/>
          <w:bCs/>
        </w:rPr>
      </w:pPr>
    </w:p>
    <w:p w:rsidR="00E0065D" w:rsidRPr="00273F14" w:rsidRDefault="00E0065D" w:rsidP="006964C6">
      <w:pPr>
        <w:pStyle w:val="xl19"/>
        <w:tabs>
          <w:tab w:val="left" w:leader="dot" w:pos="7920"/>
        </w:tabs>
        <w:spacing w:before="0" w:after="0"/>
        <w:outlineLvl w:val="0"/>
        <w:rPr>
          <w:rFonts w:eastAsia="Times New Roman"/>
          <w:b/>
          <w:bCs/>
        </w:rPr>
      </w:pPr>
      <w:r w:rsidRPr="00273F14">
        <w:rPr>
          <w:rFonts w:eastAsia="Times New Roman"/>
          <w:b/>
          <w:bCs/>
        </w:rPr>
        <w:t xml:space="preserve">I. </w:t>
      </w:r>
      <w:r w:rsidR="006964C6" w:rsidRPr="00273F14">
        <w:rPr>
          <w:rFonts w:eastAsia="Times New Roman"/>
          <w:b/>
          <w:bCs/>
        </w:rPr>
        <w:t xml:space="preserve">  </w:t>
      </w:r>
      <w:r w:rsidR="00207B56" w:rsidRPr="00273F14">
        <w:rPr>
          <w:rFonts w:eastAsia="Times New Roman"/>
          <w:b/>
          <w:bCs/>
        </w:rPr>
        <w:t xml:space="preserve"> </w:t>
      </w:r>
      <w:r w:rsidR="00224A36" w:rsidRPr="00273F14">
        <w:rPr>
          <w:b/>
          <w:bCs/>
        </w:rPr>
        <w:t>Overview</w:t>
      </w:r>
      <w:r w:rsidR="006964C6" w:rsidRPr="00273F14">
        <w:rPr>
          <w:bCs/>
        </w:rPr>
        <w:tab/>
      </w:r>
      <w:r w:rsidR="006964C6" w:rsidRPr="00273F14">
        <w:rPr>
          <w:b/>
          <w:bCs/>
        </w:rPr>
        <w:tab/>
      </w:r>
      <w:r w:rsidR="00BD4E80" w:rsidRPr="00273F14">
        <w:rPr>
          <w:rFonts w:eastAsia="Times New Roman"/>
          <w:bCs/>
          <w:szCs w:val="24"/>
        </w:rPr>
        <w:t>1</w:t>
      </w:r>
    </w:p>
    <w:p w:rsidR="00E0065D" w:rsidRPr="00273F14" w:rsidRDefault="00E0065D" w:rsidP="003D44AE">
      <w:pPr>
        <w:pStyle w:val="xl19"/>
        <w:tabs>
          <w:tab w:val="left" w:pos="8100"/>
          <w:tab w:val="left" w:pos="8460"/>
          <w:tab w:val="right" w:pos="8730"/>
        </w:tabs>
        <w:spacing w:before="0" w:after="0"/>
        <w:ind w:firstLine="720"/>
        <w:outlineLvl w:val="0"/>
        <w:rPr>
          <w:b/>
          <w:bCs/>
        </w:rPr>
      </w:pPr>
    </w:p>
    <w:p w:rsidR="00993556" w:rsidRPr="00273F14" w:rsidRDefault="00E0065D" w:rsidP="006964C6">
      <w:pPr>
        <w:pStyle w:val="xl19"/>
        <w:tabs>
          <w:tab w:val="left" w:leader="dot" w:pos="7920"/>
        </w:tabs>
        <w:spacing w:before="0" w:after="0"/>
        <w:outlineLvl w:val="0"/>
        <w:rPr>
          <w:b/>
          <w:bCs/>
        </w:rPr>
      </w:pPr>
      <w:r w:rsidRPr="00273F14">
        <w:rPr>
          <w:b/>
          <w:bCs/>
        </w:rPr>
        <w:t>II</w:t>
      </w:r>
      <w:r w:rsidR="006964C6" w:rsidRPr="00273F14">
        <w:rPr>
          <w:b/>
          <w:bCs/>
        </w:rPr>
        <w:t>.</w:t>
      </w:r>
      <w:r w:rsidRPr="00273F14">
        <w:rPr>
          <w:b/>
          <w:bCs/>
        </w:rPr>
        <w:t xml:space="preserve">  </w:t>
      </w:r>
      <w:r w:rsidR="00207B56" w:rsidRPr="00273F14">
        <w:rPr>
          <w:b/>
          <w:bCs/>
        </w:rPr>
        <w:t xml:space="preserve"> </w:t>
      </w:r>
      <w:r w:rsidR="00993556" w:rsidRPr="00273F14">
        <w:rPr>
          <w:b/>
        </w:rPr>
        <w:t>Appropriations Language and Analysis of Appropriations Language</w:t>
      </w:r>
      <w:r w:rsidR="00993556" w:rsidRPr="00273F14">
        <w:tab/>
      </w:r>
      <w:r w:rsidR="006F26D9" w:rsidRPr="00273F14">
        <w:t>.</w:t>
      </w:r>
      <w:r w:rsidR="006964C6" w:rsidRPr="00273F14">
        <w:tab/>
      </w:r>
      <w:r w:rsidR="00286AB4" w:rsidRPr="00273F14">
        <w:rPr>
          <w:rFonts w:eastAsia="Times New Roman"/>
          <w:bCs/>
          <w:szCs w:val="24"/>
        </w:rPr>
        <w:t>6</w:t>
      </w:r>
    </w:p>
    <w:p w:rsidR="00224A36" w:rsidRPr="00273F14" w:rsidRDefault="00224A36" w:rsidP="003D44AE">
      <w:pPr>
        <w:pStyle w:val="xl27"/>
        <w:tabs>
          <w:tab w:val="left" w:leader="dot" w:pos="7920"/>
          <w:tab w:val="left" w:pos="8100"/>
          <w:tab w:val="left" w:pos="8460"/>
          <w:tab w:val="right" w:pos="8640"/>
        </w:tabs>
        <w:spacing w:before="0" w:after="0"/>
        <w:rPr>
          <w:rFonts w:ascii="Times New Roman" w:eastAsia="Times New Roman" w:hAnsi="Times New Roman" w:cs="Arial"/>
          <w:szCs w:val="24"/>
        </w:rPr>
      </w:pPr>
    </w:p>
    <w:p w:rsidR="00224A36" w:rsidRPr="00273F14" w:rsidRDefault="00E0065D" w:rsidP="006964C6">
      <w:pPr>
        <w:pStyle w:val="xl27"/>
        <w:tabs>
          <w:tab w:val="left" w:leader="dot" w:pos="7920"/>
          <w:tab w:val="left" w:pos="8640"/>
        </w:tabs>
        <w:spacing w:before="0" w:after="0"/>
        <w:rPr>
          <w:rFonts w:ascii="Times New Roman" w:eastAsia="Times New Roman" w:hAnsi="Times New Roman" w:cs="Arial"/>
          <w:b w:val="0"/>
          <w:szCs w:val="24"/>
        </w:rPr>
      </w:pPr>
      <w:r w:rsidRPr="00273F14">
        <w:rPr>
          <w:rFonts w:ascii="Times New Roman" w:eastAsia="Times New Roman" w:hAnsi="Times New Roman" w:cs="Arial"/>
          <w:szCs w:val="24"/>
        </w:rPr>
        <w:t>I</w:t>
      </w:r>
      <w:r w:rsidR="00263721" w:rsidRPr="00273F14">
        <w:rPr>
          <w:rFonts w:ascii="Times New Roman" w:eastAsia="Times New Roman" w:hAnsi="Times New Roman" w:cs="Arial"/>
          <w:szCs w:val="24"/>
        </w:rPr>
        <w:t>II</w:t>
      </w:r>
      <w:r w:rsidR="006F26D9" w:rsidRPr="00273F14">
        <w:rPr>
          <w:rFonts w:ascii="Times New Roman" w:eastAsia="Times New Roman" w:hAnsi="Times New Roman" w:cs="Arial"/>
          <w:szCs w:val="24"/>
        </w:rPr>
        <w:t>. Decision</w:t>
      </w:r>
      <w:r w:rsidR="00224A36" w:rsidRPr="00273F14">
        <w:rPr>
          <w:rFonts w:ascii="Times New Roman" w:eastAsia="Times New Roman" w:hAnsi="Times New Roman" w:cs="Arial"/>
          <w:szCs w:val="24"/>
        </w:rPr>
        <w:t xml:space="preserve"> Unit Justification</w:t>
      </w:r>
      <w:r w:rsidR="003D44AE" w:rsidRPr="00273F14">
        <w:rPr>
          <w:rFonts w:ascii="Times New Roman" w:eastAsia="Times New Roman" w:hAnsi="Times New Roman" w:cs="Arial"/>
          <w:b w:val="0"/>
          <w:szCs w:val="24"/>
        </w:rPr>
        <w:tab/>
      </w:r>
      <w:r w:rsidR="00286AB4" w:rsidRPr="00273F14">
        <w:rPr>
          <w:rFonts w:ascii="Times New Roman" w:eastAsia="Times New Roman" w:hAnsi="Times New Roman" w:cs="Arial"/>
          <w:b w:val="0"/>
          <w:szCs w:val="24"/>
        </w:rPr>
        <w:t>.</w:t>
      </w:r>
      <w:r w:rsidR="006964C6" w:rsidRPr="00273F14">
        <w:rPr>
          <w:rFonts w:ascii="Times New Roman" w:eastAsia="Times New Roman" w:hAnsi="Times New Roman" w:cs="Arial"/>
          <w:b w:val="0"/>
          <w:szCs w:val="24"/>
        </w:rPr>
        <w:tab/>
      </w:r>
      <w:r w:rsidR="00286AB4" w:rsidRPr="00273F14">
        <w:rPr>
          <w:rFonts w:ascii="Times New Roman" w:eastAsia="Times New Roman" w:hAnsi="Times New Roman" w:cs="Arial"/>
          <w:b w:val="0"/>
          <w:szCs w:val="24"/>
        </w:rPr>
        <w:t>7</w:t>
      </w:r>
    </w:p>
    <w:p w:rsidR="00224A36" w:rsidRPr="00273F14" w:rsidRDefault="00224A36" w:rsidP="003D44AE">
      <w:pPr>
        <w:tabs>
          <w:tab w:val="left" w:leader="dot" w:pos="7920"/>
        </w:tabs>
        <w:rPr>
          <w:bCs/>
        </w:rPr>
      </w:pPr>
      <w:r w:rsidRPr="00273F14">
        <w:rPr>
          <w:bCs/>
        </w:rPr>
        <w:t xml:space="preserve">     </w:t>
      </w:r>
    </w:p>
    <w:p w:rsidR="00224A36" w:rsidRPr="00273F14" w:rsidRDefault="00207B56" w:rsidP="003D44AE">
      <w:pPr>
        <w:tabs>
          <w:tab w:val="left" w:leader="dot" w:pos="7920"/>
          <w:tab w:val="left" w:pos="8100"/>
          <w:tab w:val="left" w:pos="8460"/>
          <w:tab w:val="right" w:pos="8640"/>
        </w:tabs>
        <w:rPr>
          <w:bCs/>
        </w:rPr>
      </w:pPr>
      <w:r w:rsidRPr="00273F14">
        <w:rPr>
          <w:bCs/>
        </w:rPr>
        <w:t xml:space="preserve">       </w:t>
      </w:r>
      <w:r w:rsidR="00263721" w:rsidRPr="00273F14">
        <w:rPr>
          <w:bCs/>
        </w:rPr>
        <w:t xml:space="preserve">Asset Forfeiture </w:t>
      </w:r>
      <w:r w:rsidR="00011D7E" w:rsidRPr="00273F14">
        <w:rPr>
          <w:bCs/>
        </w:rPr>
        <w:t>Program</w:t>
      </w:r>
    </w:p>
    <w:p w:rsidR="00224A36" w:rsidRPr="00273F14" w:rsidRDefault="00224A36" w:rsidP="003D44AE">
      <w:pPr>
        <w:tabs>
          <w:tab w:val="left" w:leader="dot" w:pos="7920"/>
          <w:tab w:val="left" w:pos="8100"/>
          <w:tab w:val="left" w:pos="8460"/>
          <w:tab w:val="right" w:pos="8640"/>
        </w:tabs>
        <w:rPr>
          <w:bCs/>
        </w:rPr>
      </w:pPr>
      <w:r w:rsidRPr="00273F14">
        <w:rPr>
          <w:bCs/>
        </w:rPr>
        <w:t xml:space="preserve">           1.  Program Description</w:t>
      </w:r>
    </w:p>
    <w:p w:rsidR="00224A36" w:rsidRPr="00273F14" w:rsidRDefault="00224A36" w:rsidP="003D44AE">
      <w:pPr>
        <w:tabs>
          <w:tab w:val="left" w:leader="dot" w:pos="7920"/>
          <w:tab w:val="left" w:pos="8100"/>
          <w:tab w:val="left" w:pos="8460"/>
          <w:tab w:val="right" w:pos="8640"/>
        </w:tabs>
        <w:rPr>
          <w:bCs/>
        </w:rPr>
      </w:pPr>
      <w:r w:rsidRPr="00273F14">
        <w:rPr>
          <w:bCs/>
        </w:rPr>
        <w:t xml:space="preserve">           2.  Performance Tables</w:t>
      </w:r>
    </w:p>
    <w:p w:rsidR="00224A36" w:rsidRPr="00273F14" w:rsidRDefault="00224A36" w:rsidP="003D44AE">
      <w:pPr>
        <w:tabs>
          <w:tab w:val="left" w:leader="dot" w:pos="7920"/>
          <w:tab w:val="left" w:pos="8100"/>
          <w:tab w:val="left" w:pos="8460"/>
          <w:tab w:val="right" w:pos="8640"/>
        </w:tabs>
        <w:rPr>
          <w:bCs/>
        </w:rPr>
      </w:pPr>
      <w:r w:rsidRPr="00273F14">
        <w:rPr>
          <w:bCs/>
        </w:rPr>
        <w:t xml:space="preserve">           3.  </w:t>
      </w:r>
      <w:r w:rsidRPr="00273F14">
        <w:t>Performance, Resources, and Strategies</w:t>
      </w:r>
    </w:p>
    <w:p w:rsidR="003359B7" w:rsidRPr="00273F14" w:rsidRDefault="003359B7" w:rsidP="003D44AE">
      <w:pPr>
        <w:tabs>
          <w:tab w:val="left" w:leader="dot" w:pos="7920"/>
          <w:tab w:val="left" w:pos="8100"/>
          <w:tab w:val="left" w:pos="8460"/>
          <w:tab w:val="right" w:pos="8640"/>
        </w:tabs>
        <w:rPr>
          <w:rFonts w:cs="Arial"/>
          <w:b/>
          <w:bCs/>
        </w:rPr>
      </w:pPr>
    </w:p>
    <w:p w:rsidR="003359B7" w:rsidRPr="00273F14" w:rsidRDefault="003359B7" w:rsidP="003D44AE">
      <w:pPr>
        <w:tabs>
          <w:tab w:val="left" w:leader="dot" w:pos="7920"/>
          <w:tab w:val="right" w:pos="8640"/>
        </w:tabs>
        <w:rPr>
          <w:b/>
          <w:bCs/>
          <w:iCs/>
        </w:rPr>
      </w:pPr>
      <w:r w:rsidRPr="00273F14">
        <w:rPr>
          <w:rFonts w:cs="Arial"/>
          <w:b/>
          <w:bCs/>
        </w:rPr>
        <w:t xml:space="preserve">IV. </w:t>
      </w:r>
      <w:r w:rsidR="000F09B2" w:rsidRPr="00273F14">
        <w:rPr>
          <w:b/>
        </w:rPr>
        <w:t>FY 201</w:t>
      </w:r>
      <w:r w:rsidR="00CE1D93">
        <w:rPr>
          <w:b/>
        </w:rPr>
        <w:t>4</w:t>
      </w:r>
      <w:r w:rsidR="000F09B2" w:rsidRPr="00273F14">
        <w:rPr>
          <w:b/>
        </w:rPr>
        <w:t xml:space="preserve"> Asset </w:t>
      </w:r>
      <w:r w:rsidR="00273F14" w:rsidRPr="00273F14">
        <w:rPr>
          <w:b/>
        </w:rPr>
        <w:t>Forfeiture</w:t>
      </w:r>
      <w:r w:rsidR="000F09B2" w:rsidRPr="00273F14">
        <w:rPr>
          <w:b/>
        </w:rPr>
        <w:t xml:space="preserve"> Program </w:t>
      </w:r>
      <w:r w:rsidR="00273F14" w:rsidRPr="00273F14">
        <w:rPr>
          <w:b/>
        </w:rPr>
        <w:t>Estimates</w:t>
      </w:r>
      <w:r w:rsidR="003D44AE" w:rsidRPr="00273F14">
        <w:rPr>
          <w:bCs/>
          <w:iCs/>
        </w:rPr>
        <w:tab/>
      </w:r>
      <w:r w:rsidR="00BE48F9" w:rsidRPr="00273F14">
        <w:rPr>
          <w:bCs/>
          <w:iCs/>
        </w:rPr>
        <w:t xml:space="preserve"> </w:t>
      </w:r>
      <w:r w:rsidR="003D44AE" w:rsidRPr="00273F14">
        <w:rPr>
          <w:bCs/>
          <w:iCs/>
        </w:rPr>
        <w:tab/>
      </w:r>
      <w:r w:rsidR="00BE48F9" w:rsidRPr="00273F14">
        <w:rPr>
          <w:bCs/>
          <w:iCs/>
        </w:rPr>
        <w:t xml:space="preserve"> </w:t>
      </w:r>
      <w:r w:rsidR="00B96D2E" w:rsidRPr="00273F14">
        <w:rPr>
          <w:bCs/>
          <w:iCs/>
        </w:rPr>
        <w:t>8</w:t>
      </w:r>
    </w:p>
    <w:p w:rsidR="00224A36" w:rsidRPr="00273F14" w:rsidRDefault="003359B7" w:rsidP="000F09B2">
      <w:pPr>
        <w:tabs>
          <w:tab w:val="left" w:leader="dot" w:pos="7920"/>
          <w:tab w:val="right" w:pos="8640"/>
        </w:tabs>
        <w:rPr>
          <w:bCs/>
        </w:rPr>
      </w:pPr>
      <w:r w:rsidRPr="00273F14">
        <w:rPr>
          <w:bCs/>
        </w:rPr>
        <w:t xml:space="preserve"> </w:t>
      </w:r>
      <w:r w:rsidR="00224A36" w:rsidRPr="00273F14">
        <w:rPr>
          <w:bCs/>
        </w:rPr>
        <w:t xml:space="preserve">       </w:t>
      </w:r>
    </w:p>
    <w:p w:rsidR="00224A36" w:rsidRPr="00273F14" w:rsidRDefault="00FD1C96">
      <w:pPr>
        <w:pStyle w:val="xl27"/>
        <w:tabs>
          <w:tab w:val="left" w:leader="dot" w:pos="7920"/>
          <w:tab w:val="right" w:pos="8640"/>
        </w:tabs>
        <w:spacing w:before="0" w:after="0"/>
        <w:rPr>
          <w:rFonts w:ascii="Times New Roman" w:eastAsia="Times New Roman" w:hAnsi="Times New Roman"/>
          <w:bCs/>
          <w:szCs w:val="24"/>
        </w:rPr>
      </w:pPr>
      <w:r w:rsidRPr="00273F14">
        <w:rPr>
          <w:rFonts w:ascii="Times New Roman" w:eastAsia="Times New Roman" w:hAnsi="Times New Roman"/>
          <w:bCs/>
          <w:szCs w:val="24"/>
        </w:rPr>
        <w:t>V</w:t>
      </w:r>
      <w:r w:rsidR="00224A36" w:rsidRPr="00273F14">
        <w:rPr>
          <w:rFonts w:ascii="Times New Roman" w:eastAsia="Times New Roman" w:hAnsi="Times New Roman"/>
          <w:bCs/>
          <w:szCs w:val="24"/>
        </w:rPr>
        <w:t>.  Exhibits</w:t>
      </w:r>
    </w:p>
    <w:p w:rsidR="00224A36" w:rsidRPr="00273F14" w:rsidRDefault="00224A36">
      <w:pPr>
        <w:tabs>
          <w:tab w:val="left" w:leader="dot" w:pos="7920"/>
          <w:tab w:val="right" w:pos="8640"/>
        </w:tabs>
        <w:outlineLvl w:val="0"/>
        <w:rPr>
          <w:b/>
          <w:bCs/>
        </w:rPr>
      </w:pPr>
    </w:p>
    <w:p w:rsidR="00224A36" w:rsidRPr="00273F14" w:rsidRDefault="00224A36" w:rsidP="003D44AE">
      <w:pPr>
        <w:numPr>
          <w:ilvl w:val="0"/>
          <w:numId w:val="4"/>
        </w:numPr>
        <w:tabs>
          <w:tab w:val="left" w:leader="dot" w:pos="7920"/>
          <w:tab w:val="right" w:pos="8640"/>
        </w:tabs>
        <w:outlineLvl w:val="0"/>
        <w:rPr>
          <w:bCs/>
        </w:rPr>
      </w:pPr>
      <w:r w:rsidRPr="00273F14">
        <w:t>Organizational Chart</w:t>
      </w:r>
      <w:r w:rsidRPr="00273F14">
        <w:tab/>
      </w:r>
      <w:r w:rsidRPr="00273F14">
        <w:rPr>
          <w:bCs/>
        </w:rPr>
        <w:tab/>
      </w:r>
      <w:r w:rsidR="00362437">
        <w:rPr>
          <w:bCs/>
        </w:rPr>
        <w:t>19</w:t>
      </w:r>
    </w:p>
    <w:p w:rsidR="00224A36" w:rsidRPr="00273F14" w:rsidRDefault="003E615F" w:rsidP="003D44AE">
      <w:pPr>
        <w:pStyle w:val="xl19"/>
        <w:tabs>
          <w:tab w:val="left" w:leader="dot" w:pos="7920"/>
          <w:tab w:val="right" w:pos="8640"/>
        </w:tabs>
        <w:spacing w:before="0" w:after="0"/>
        <w:ind w:left="360"/>
        <w:rPr>
          <w:rFonts w:eastAsia="Times New Roman"/>
          <w:bCs/>
        </w:rPr>
      </w:pPr>
      <w:r w:rsidRPr="00273F14">
        <w:rPr>
          <w:rFonts w:eastAsia="Times New Roman"/>
          <w:bCs/>
        </w:rPr>
        <w:t>B.</w:t>
      </w:r>
      <w:r w:rsidR="003D0E7B" w:rsidRPr="00273F14">
        <w:rPr>
          <w:rFonts w:eastAsia="Times New Roman"/>
          <w:bCs/>
        </w:rPr>
        <w:t xml:space="preserve"> </w:t>
      </w:r>
      <w:r w:rsidR="00224A36" w:rsidRPr="00273F14">
        <w:rPr>
          <w:rFonts w:eastAsia="Times New Roman"/>
          <w:bCs/>
        </w:rPr>
        <w:t xml:space="preserve"> </w:t>
      </w:r>
      <w:r w:rsidRPr="00273F14">
        <w:rPr>
          <w:rFonts w:eastAsia="Times New Roman"/>
          <w:bCs/>
        </w:rPr>
        <w:t xml:space="preserve"> </w:t>
      </w:r>
      <w:r w:rsidR="00224A36" w:rsidRPr="00273F14">
        <w:rPr>
          <w:rFonts w:eastAsia="Times New Roman"/>
          <w:bCs/>
        </w:rPr>
        <w:t xml:space="preserve">Summary of Requirements </w:t>
      </w:r>
      <w:r w:rsidR="00224A36" w:rsidRPr="00273F14">
        <w:rPr>
          <w:rFonts w:eastAsia="Times New Roman"/>
          <w:bCs/>
        </w:rPr>
        <w:tab/>
      </w:r>
      <w:r w:rsidR="00263721" w:rsidRPr="00273F14">
        <w:rPr>
          <w:rFonts w:eastAsia="Times New Roman"/>
          <w:bCs/>
        </w:rPr>
        <w:tab/>
        <w:t>N/A*</w:t>
      </w:r>
    </w:p>
    <w:p w:rsidR="00224A36" w:rsidRPr="00273F14" w:rsidRDefault="003E615F" w:rsidP="003D44AE">
      <w:pPr>
        <w:tabs>
          <w:tab w:val="left" w:leader="dot" w:pos="7920"/>
          <w:tab w:val="right" w:pos="8640"/>
        </w:tabs>
        <w:ind w:left="360"/>
        <w:rPr>
          <w:bCs/>
        </w:rPr>
      </w:pPr>
      <w:r w:rsidRPr="00273F14">
        <w:rPr>
          <w:bCs/>
        </w:rPr>
        <w:t>C</w:t>
      </w:r>
      <w:r w:rsidR="00224A36" w:rsidRPr="00273F14">
        <w:rPr>
          <w:bCs/>
        </w:rPr>
        <w:t xml:space="preserve">. </w:t>
      </w:r>
      <w:r w:rsidRPr="00273F14">
        <w:rPr>
          <w:bCs/>
        </w:rPr>
        <w:t xml:space="preserve"> </w:t>
      </w:r>
      <w:r w:rsidR="00224A36" w:rsidRPr="00273F14">
        <w:rPr>
          <w:bCs/>
        </w:rPr>
        <w:t>Program Increases by Decision Unit</w:t>
      </w:r>
      <w:r w:rsidR="00224A36" w:rsidRPr="00273F14">
        <w:rPr>
          <w:bCs/>
        </w:rPr>
        <w:tab/>
      </w:r>
      <w:r w:rsidR="00224A36" w:rsidRPr="00273F14">
        <w:rPr>
          <w:bCs/>
        </w:rPr>
        <w:tab/>
      </w:r>
      <w:r w:rsidR="00263721" w:rsidRPr="00273F14">
        <w:rPr>
          <w:bCs/>
        </w:rPr>
        <w:t>N/A</w:t>
      </w:r>
    </w:p>
    <w:p w:rsidR="00713973" w:rsidRPr="00273F14" w:rsidRDefault="00224A36" w:rsidP="003D44AE">
      <w:pPr>
        <w:numPr>
          <w:ilvl w:val="0"/>
          <w:numId w:val="6"/>
        </w:numPr>
        <w:tabs>
          <w:tab w:val="left" w:leader="dot" w:pos="7920"/>
          <w:tab w:val="right" w:pos="8640"/>
        </w:tabs>
        <w:rPr>
          <w:bCs/>
        </w:rPr>
      </w:pPr>
      <w:r w:rsidRPr="00273F14">
        <w:rPr>
          <w:bCs/>
        </w:rPr>
        <w:t>Resources by DOJ Strategic Goal/Objective</w:t>
      </w:r>
      <w:r w:rsidRPr="00273F14">
        <w:rPr>
          <w:bCs/>
        </w:rPr>
        <w:tab/>
      </w:r>
      <w:r w:rsidR="00713973" w:rsidRPr="00273F14">
        <w:rPr>
          <w:bCs/>
        </w:rPr>
        <w:tab/>
      </w:r>
      <w:r w:rsidR="003D44AE" w:rsidRPr="00273F14">
        <w:rPr>
          <w:bCs/>
        </w:rPr>
        <w:t>2</w:t>
      </w:r>
      <w:r w:rsidR="00362437">
        <w:rPr>
          <w:bCs/>
        </w:rPr>
        <w:t>0</w:t>
      </w:r>
    </w:p>
    <w:p w:rsidR="00224A36" w:rsidRPr="00273F14" w:rsidRDefault="00224A36" w:rsidP="003D44AE">
      <w:pPr>
        <w:numPr>
          <w:ilvl w:val="0"/>
          <w:numId w:val="6"/>
        </w:numPr>
        <w:tabs>
          <w:tab w:val="left" w:leader="dot" w:pos="7920"/>
          <w:tab w:val="right" w:pos="8640"/>
        </w:tabs>
        <w:rPr>
          <w:bCs/>
        </w:rPr>
      </w:pPr>
      <w:r w:rsidRPr="00273F14">
        <w:rPr>
          <w:bCs/>
        </w:rPr>
        <w:t>Justification for Base Adjustments</w:t>
      </w:r>
      <w:r w:rsidR="00FD1C96" w:rsidRPr="00273F14">
        <w:rPr>
          <w:bCs/>
        </w:rPr>
        <w:tab/>
      </w:r>
      <w:r w:rsidR="00263721" w:rsidRPr="00273F14">
        <w:rPr>
          <w:bCs/>
        </w:rPr>
        <w:tab/>
        <w:t>N/A</w:t>
      </w:r>
    </w:p>
    <w:p w:rsidR="00FD1C96" w:rsidRPr="00273F14" w:rsidRDefault="006A30E2" w:rsidP="003D44AE">
      <w:pPr>
        <w:numPr>
          <w:ilvl w:val="0"/>
          <w:numId w:val="6"/>
        </w:numPr>
        <w:tabs>
          <w:tab w:val="left" w:leader="dot" w:pos="7920"/>
          <w:tab w:val="right" w:pos="8640"/>
        </w:tabs>
        <w:rPr>
          <w:bCs/>
        </w:rPr>
      </w:pPr>
      <w:r w:rsidRPr="00273F14">
        <w:rPr>
          <w:bCs/>
        </w:rPr>
        <w:t>Crosswalk of 20</w:t>
      </w:r>
      <w:r w:rsidR="00327595" w:rsidRPr="00273F14">
        <w:rPr>
          <w:bCs/>
        </w:rPr>
        <w:t>1</w:t>
      </w:r>
      <w:r w:rsidR="00CE1D93">
        <w:rPr>
          <w:bCs/>
        </w:rPr>
        <w:t>2</w:t>
      </w:r>
      <w:r w:rsidR="00224A36" w:rsidRPr="00273F14">
        <w:rPr>
          <w:bCs/>
        </w:rPr>
        <w:t xml:space="preserve"> Availability</w:t>
      </w:r>
      <w:r w:rsidR="00FD1C96" w:rsidRPr="00273F14">
        <w:rPr>
          <w:bCs/>
        </w:rPr>
        <w:tab/>
      </w:r>
      <w:r w:rsidR="00263721" w:rsidRPr="00273F14">
        <w:rPr>
          <w:bCs/>
        </w:rPr>
        <w:tab/>
      </w:r>
      <w:r w:rsidR="003D44AE" w:rsidRPr="00273F14">
        <w:rPr>
          <w:bCs/>
        </w:rPr>
        <w:t>2</w:t>
      </w:r>
      <w:r w:rsidR="00362437">
        <w:rPr>
          <w:bCs/>
        </w:rPr>
        <w:t>1</w:t>
      </w:r>
    </w:p>
    <w:p w:rsidR="00224A36" w:rsidRPr="00273F14" w:rsidRDefault="006A30E2" w:rsidP="003D44AE">
      <w:pPr>
        <w:numPr>
          <w:ilvl w:val="0"/>
          <w:numId w:val="6"/>
        </w:numPr>
        <w:tabs>
          <w:tab w:val="left" w:leader="dot" w:pos="7920"/>
          <w:tab w:val="right" w:pos="8640"/>
        </w:tabs>
        <w:rPr>
          <w:bCs/>
        </w:rPr>
      </w:pPr>
      <w:r w:rsidRPr="00273F14">
        <w:rPr>
          <w:bCs/>
        </w:rPr>
        <w:t>Crosswalk of 20</w:t>
      </w:r>
      <w:r w:rsidR="002E712F" w:rsidRPr="00273F14">
        <w:rPr>
          <w:bCs/>
        </w:rPr>
        <w:t>1</w:t>
      </w:r>
      <w:r w:rsidR="00CE1D93">
        <w:rPr>
          <w:bCs/>
        </w:rPr>
        <w:t>3</w:t>
      </w:r>
      <w:r w:rsidR="00FD1C96" w:rsidRPr="00273F14">
        <w:rPr>
          <w:bCs/>
        </w:rPr>
        <w:t xml:space="preserve"> Avail</w:t>
      </w:r>
      <w:r w:rsidR="00433BB2" w:rsidRPr="00273F14">
        <w:rPr>
          <w:bCs/>
        </w:rPr>
        <w:t>ability</w:t>
      </w:r>
      <w:r w:rsidR="00224A36" w:rsidRPr="00273F14">
        <w:rPr>
          <w:bCs/>
        </w:rPr>
        <w:tab/>
      </w:r>
      <w:r w:rsidR="00263721" w:rsidRPr="00273F14">
        <w:rPr>
          <w:bCs/>
        </w:rPr>
        <w:tab/>
      </w:r>
      <w:r w:rsidR="003D44AE" w:rsidRPr="00273F14">
        <w:rPr>
          <w:bCs/>
        </w:rPr>
        <w:t>2</w:t>
      </w:r>
      <w:r w:rsidR="00362437">
        <w:rPr>
          <w:bCs/>
        </w:rPr>
        <w:t>2</w:t>
      </w:r>
    </w:p>
    <w:p w:rsidR="00224A36" w:rsidRPr="00273F14" w:rsidRDefault="00224A36" w:rsidP="003D44AE">
      <w:pPr>
        <w:numPr>
          <w:ilvl w:val="0"/>
          <w:numId w:val="6"/>
        </w:numPr>
        <w:tabs>
          <w:tab w:val="left" w:leader="dot" w:pos="7920"/>
          <w:tab w:val="right" w:pos="8640"/>
        </w:tabs>
        <w:rPr>
          <w:bCs/>
        </w:rPr>
      </w:pPr>
      <w:r w:rsidRPr="00273F14">
        <w:rPr>
          <w:bCs/>
        </w:rPr>
        <w:t>Summary of Reimbursable Resources</w:t>
      </w:r>
      <w:r w:rsidRPr="00273F14">
        <w:rPr>
          <w:bCs/>
        </w:rPr>
        <w:tab/>
      </w:r>
      <w:r w:rsidR="003D44AE" w:rsidRPr="00273F14">
        <w:rPr>
          <w:bCs/>
        </w:rPr>
        <w:tab/>
        <w:t>2</w:t>
      </w:r>
      <w:r w:rsidR="00362437">
        <w:rPr>
          <w:bCs/>
        </w:rPr>
        <w:t>3</w:t>
      </w:r>
    </w:p>
    <w:p w:rsidR="00224A36" w:rsidRPr="00273F14" w:rsidRDefault="00224A36" w:rsidP="003D44AE">
      <w:pPr>
        <w:numPr>
          <w:ilvl w:val="0"/>
          <w:numId w:val="6"/>
        </w:numPr>
        <w:tabs>
          <w:tab w:val="left" w:leader="dot" w:pos="7920"/>
          <w:tab w:val="right" w:pos="8640"/>
        </w:tabs>
        <w:rPr>
          <w:bCs/>
        </w:rPr>
      </w:pPr>
      <w:r w:rsidRPr="00273F14">
        <w:rPr>
          <w:bCs/>
        </w:rPr>
        <w:t>Detail of Permanent Positions by Category</w:t>
      </w:r>
      <w:r w:rsidRPr="00273F14">
        <w:rPr>
          <w:bCs/>
        </w:rPr>
        <w:tab/>
      </w:r>
      <w:r w:rsidR="00327595" w:rsidRPr="00273F14">
        <w:rPr>
          <w:bCs/>
        </w:rPr>
        <w:tab/>
        <w:t>2</w:t>
      </w:r>
      <w:r w:rsidR="00362437">
        <w:rPr>
          <w:bCs/>
        </w:rPr>
        <w:t>4</w:t>
      </w:r>
    </w:p>
    <w:p w:rsidR="00224A36" w:rsidRPr="00273F14" w:rsidRDefault="007B406F" w:rsidP="003D44AE">
      <w:pPr>
        <w:numPr>
          <w:ilvl w:val="0"/>
          <w:numId w:val="6"/>
        </w:numPr>
        <w:tabs>
          <w:tab w:val="left" w:leader="dot" w:pos="7920"/>
          <w:tab w:val="right" w:pos="8640"/>
        </w:tabs>
        <w:rPr>
          <w:bCs/>
        </w:rPr>
      </w:pPr>
      <w:r w:rsidRPr="00273F14">
        <w:rPr>
          <w:bCs/>
        </w:rPr>
        <w:t>Financial Analysis of Program Increases/Offsets</w:t>
      </w:r>
      <w:r w:rsidR="00224A36" w:rsidRPr="00273F14">
        <w:rPr>
          <w:bCs/>
        </w:rPr>
        <w:tab/>
      </w:r>
      <w:r w:rsidR="00263721" w:rsidRPr="00273F14">
        <w:rPr>
          <w:bCs/>
        </w:rPr>
        <w:tab/>
        <w:t>N/A</w:t>
      </w:r>
    </w:p>
    <w:p w:rsidR="00224A36" w:rsidRPr="00273F14" w:rsidRDefault="00B50CCC" w:rsidP="003D44AE">
      <w:pPr>
        <w:numPr>
          <w:ilvl w:val="0"/>
          <w:numId w:val="6"/>
        </w:numPr>
        <w:tabs>
          <w:tab w:val="left" w:leader="dot" w:pos="7920"/>
          <w:tab w:val="right" w:pos="8640"/>
        </w:tabs>
        <w:rPr>
          <w:bCs/>
        </w:rPr>
      </w:pPr>
      <w:r w:rsidRPr="00273F14">
        <w:rPr>
          <w:bCs/>
        </w:rPr>
        <w:t>Summary of Requirements by Grade</w:t>
      </w:r>
      <w:r w:rsidR="00224A36" w:rsidRPr="00273F14">
        <w:rPr>
          <w:bCs/>
        </w:rPr>
        <w:tab/>
      </w:r>
      <w:r w:rsidR="00327595" w:rsidRPr="00273F14">
        <w:rPr>
          <w:bCs/>
        </w:rPr>
        <w:tab/>
        <w:t>2</w:t>
      </w:r>
      <w:r w:rsidR="00362437">
        <w:rPr>
          <w:bCs/>
        </w:rPr>
        <w:t>5</w:t>
      </w:r>
    </w:p>
    <w:p w:rsidR="00224A36" w:rsidRPr="00273F14" w:rsidRDefault="00B50CCC" w:rsidP="003D44AE">
      <w:pPr>
        <w:numPr>
          <w:ilvl w:val="0"/>
          <w:numId w:val="6"/>
        </w:numPr>
        <w:tabs>
          <w:tab w:val="left" w:leader="dot" w:pos="7920"/>
          <w:tab w:val="right" w:pos="8640"/>
        </w:tabs>
        <w:rPr>
          <w:bCs/>
        </w:rPr>
      </w:pPr>
      <w:r w:rsidRPr="00273F14">
        <w:rPr>
          <w:bCs/>
        </w:rPr>
        <w:t>Summary of Requirements by Object Class</w:t>
      </w:r>
      <w:r w:rsidR="00224A36" w:rsidRPr="00273F14">
        <w:rPr>
          <w:bCs/>
        </w:rPr>
        <w:tab/>
      </w:r>
      <w:r w:rsidR="00263721" w:rsidRPr="00273F14">
        <w:rPr>
          <w:bCs/>
        </w:rPr>
        <w:tab/>
      </w:r>
      <w:r w:rsidR="003D44AE" w:rsidRPr="00273F14">
        <w:rPr>
          <w:bCs/>
        </w:rPr>
        <w:t>2</w:t>
      </w:r>
      <w:r w:rsidR="00362437">
        <w:rPr>
          <w:bCs/>
        </w:rPr>
        <w:t>6</w:t>
      </w:r>
    </w:p>
    <w:p w:rsidR="00224A36" w:rsidRPr="00273F14" w:rsidRDefault="00B50CCC" w:rsidP="003D44AE">
      <w:pPr>
        <w:numPr>
          <w:ilvl w:val="0"/>
          <w:numId w:val="6"/>
        </w:numPr>
        <w:tabs>
          <w:tab w:val="left" w:leader="dot" w:pos="7920"/>
          <w:tab w:val="right" w:pos="8640"/>
        </w:tabs>
        <w:rPr>
          <w:bCs/>
        </w:rPr>
      </w:pPr>
      <w:r w:rsidRPr="00273F14">
        <w:rPr>
          <w:bCs/>
        </w:rPr>
        <w:t>Status of Congressionally Requested Studies, Reports, and Evaluations</w:t>
      </w:r>
      <w:r w:rsidR="004C2FBB" w:rsidRPr="00273F14">
        <w:rPr>
          <w:bCs/>
        </w:rPr>
        <w:tab/>
      </w:r>
      <w:r w:rsidRPr="00273F14">
        <w:rPr>
          <w:bCs/>
        </w:rPr>
        <w:t xml:space="preserve">  </w:t>
      </w:r>
      <w:r w:rsidR="00F87281" w:rsidRPr="00273F14">
        <w:rPr>
          <w:bCs/>
        </w:rPr>
        <w:tab/>
      </w:r>
      <w:r w:rsidR="00263721" w:rsidRPr="00273F14">
        <w:rPr>
          <w:bCs/>
        </w:rPr>
        <w:t>N/A</w:t>
      </w:r>
    </w:p>
    <w:p w:rsidR="00224A36" w:rsidRPr="00273F14" w:rsidRDefault="00224A36" w:rsidP="003D44AE">
      <w:pPr>
        <w:pStyle w:val="BodyTextIndent"/>
        <w:rPr>
          <w:i w:val="0"/>
        </w:rPr>
      </w:pPr>
    </w:p>
    <w:p w:rsidR="00224A36" w:rsidRPr="00273F14" w:rsidRDefault="00224A36">
      <w:pPr>
        <w:pStyle w:val="BodyTextIndent"/>
        <w:rPr>
          <w:bCs w:val="0"/>
          <w:i w:val="0"/>
          <w:iCs w:val="0"/>
        </w:rPr>
      </w:pPr>
    </w:p>
    <w:p w:rsidR="00286AB4" w:rsidRPr="00273F14" w:rsidRDefault="00713973">
      <w:pPr>
        <w:tabs>
          <w:tab w:val="left" w:leader="dot" w:pos="7920"/>
          <w:tab w:val="right" w:pos="8640"/>
        </w:tabs>
      </w:pPr>
      <w:r w:rsidRPr="00273F14">
        <w:t xml:space="preserve">*N/A = </w:t>
      </w:r>
      <w:r w:rsidR="00224A36" w:rsidRPr="00273F14">
        <w:t>Not Applicable</w:t>
      </w:r>
    </w:p>
    <w:p w:rsidR="00286AB4" w:rsidRPr="00273F14" w:rsidRDefault="00286AB4" w:rsidP="00286AB4"/>
    <w:p w:rsidR="00286AB4" w:rsidRPr="00273F14" w:rsidRDefault="00286AB4" w:rsidP="00286AB4"/>
    <w:p w:rsidR="00286AB4" w:rsidRPr="00273F14" w:rsidRDefault="00286AB4" w:rsidP="00286AB4"/>
    <w:p w:rsidR="00286AB4" w:rsidRPr="00273F14" w:rsidRDefault="00286AB4" w:rsidP="00286AB4"/>
    <w:p w:rsidR="00286AB4" w:rsidRPr="00273F14" w:rsidRDefault="00286AB4" w:rsidP="00286AB4"/>
    <w:p w:rsidR="00286AB4" w:rsidRPr="00273F14" w:rsidRDefault="00286AB4" w:rsidP="00286AB4"/>
    <w:p w:rsidR="00286AB4" w:rsidRPr="00273F14" w:rsidRDefault="00286AB4" w:rsidP="00286AB4"/>
    <w:p w:rsidR="00286AB4" w:rsidRPr="00273F14" w:rsidRDefault="00286AB4" w:rsidP="00286AB4">
      <w:pPr>
        <w:tabs>
          <w:tab w:val="left" w:pos="3015"/>
        </w:tabs>
        <w:sectPr w:rsidR="00286AB4" w:rsidRPr="00273F14" w:rsidSect="006A30E2">
          <w:footerReference w:type="default" r:id="rId9"/>
          <w:pgSz w:w="12240" w:h="15840"/>
          <w:pgMar w:top="1152" w:right="1440" w:bottom="1152" w:left="1440" w:header="432" w:footer="432" w:gutter="0"/>
          <w:pgNumType w:start="0"/>
          <w:cols w:space="720"/>
          <w:titlePg/>
        </w:sectPr>
      </w:pPr>
      <w:r w:rsidRPr="00273F14">
        <w:tab/>
      </w:r>
    </w:p>
    <w:p w:rsidR="00286AB4" w:rsidRPr="00273F14" w:rsidRDefault="00286AB4" w:rsidP="00286AB4">
      <w:pPr>
        <w:tabs>
          <w:tab w:val="left" w:pos="3015"/>
        </w:tabs>
      </w:pPr>
    </w:p>
    <w:p w:rsidR="00286AB4" w:rsidRPr="00273F14" w:rsidRDefault="00286AB4" w:rsidP="00286AB4"/>
    <w:p w:rsidR="00224A36" w:rsidRPr="00273F14" w:rsidRDefault="00224A36" w:rsidP="00286AB4">
      <w:pPr>
        <w:sectPr w:rsidR="00224A36" w:rsidRPr="00273F14" w:rsidSect="00286AB4">
          <w:type w:val="continuous"/>
          <w:pgSz w:w="12240" w:h="15840"/>
          <w:pgMar w:top="1152" w:right="1440" w:bottom="1152" w:left="1440" w:header="432" w:footer="432" w:gutter="0"/>
          <w:pgNumType w:start="0"/>
          <w:cols w:space="720"/>
          <w:titlePg/>
        </w:sectPr>
      </w:pPr>
    </w:p>
    <w:p w:rsidR="00224A36" w:rsidRPr="00273F14" w:rsidRDefault="00224A36">
      <w:pPr>
        <w:pStyle w:val="xl33"/>
        <w:tabs>
          <w:tab w:val="left" w:leader="dot" w:pos="7920"/>
          <w:tab w:val="right" w:pos="8640"/>
        </w:tabs>
        <w:spacing w:before="0" w:after="0"/>
      </w:pPr>
    </w:p>
    <w:p w:rsidR="00224A36" w:rsidRPr="00273F14" w:rsidRDefault="00224A36">
      <w:pPr>
        <w:pStyle w:val="BodyText"/>
        <w:rPr>
          <w:b/>
          <w:bCs/>
        </w:rPr>
      </w:pPr>
      <w:r w:rsidRPr="00273F14">
        <w:rPr>
          <w:b/>
          <w:bCs/>
        </w:rPr>
        <w:t xml:space="preserve">I.  Overview for </w:t>
      </w:r>
      <w:r w:rsidR="00713973" w:rsidRPr="00273F14">
        <w:rPr>
          <w:b/>
          <w:bCs/>
        </w:rPr>
        <w:t xml:space="preserve">the Asset Forfeiture </w:t>
      </w:r>
      <w:r w:rsidR="00213A55" w:rsidRPr="00273F14">
        <w:rPr>
          <w:b/>
          <w:bCs/>
        </w:rPr>
        <w:t>Program</w:t>
      </w:r>
    </w:p>
    <w:p w:rsidR="00224A36" w:rsidRPr="00273F14" w:rsidRDefault="00224A36">
      <w:pPr>
        <w:pStyle w:val="BodyText"/>
      </w:pPr>
      <w:r w:rsidRPr="00273F14">
        <w:t xml:space="preserve">   </w:t>
      </w:r>
    </w:p>
    <w:p w:rsidR="005B21C3" w:rsidRPr="00273F14" w:rsidRDefault="005B21C3" w:rsidP="005B21C3">
      <w:pPr>
        <w:pStyle w:val="xl27"/>
        <w:numPr>
          <w:ilvl w:val="0"/>
          <w:numId w:val="18"/>
        </w:numPr>
        <w:tabs>
          <w:tab w:val="clear" w:pos="720"/>
          <w:tab w:val="num" w:pos="360"/>
        </w:tabs>
        <w:ind w:hanging="720"/>
      </w:pPr>
      <w:r w:rsidRPr="00273F14">
        <w:t xml:space="preserve">  Introduction</w:t>
      </w:r>
    </w:p>
    <w:p w:rsidR="005B21C3" w:rsidRPr="00273F14" w:rsidRDefault="005B21C3" w:rsidP="005B21C3">
      <w:pPr>
        <w:ind w:right="-180"/>
        <w:rPr>
          <w:lang w:val="en-CA"/>
        </w:rPr>
      </w:pPr>
    </w:p>
    <w:p w:rsidR="000F09B2" w:rsidRPr="00273F14" w:rsidRDefault="005B21C3" w:rsidP="005B21C3">
      <w:pPr>
        <w:ind w:right="-180"/>
        <w:rPr>
          <w:color w:val="000000"/>
        </w:rPr>
      </w:pPr>
      <w:r w:rsidRPr="00273F14">
        <w:rPr>
          <w:color w:val="000000"/>
        </w:rPr>
        <w:t xml:space="preserve">The </w:t>
      </w:r>
      <w:r w:rsidR="0046669E" w:rsidRPr="00273F14">
        <w:rPr>
          <w:color w:val="000000"/>
        </w:rPr>
        <w:t>FY 20</w:t>
      </w:r>
      <w:r w:rsidR="00C90515" w:rsidRPr="00273F14">
        <w:rPr>
          <w:color w:val="000000"/>
        </w:rPr>
        <w:t>1</w:t>
      </w:r>
      <w:r w:rsidR="00966C61">
        <w:rPr>
          <w:color w:val="000000"/>
        </w:rPr>
        <w:t>4</w:t>
      </w:r>
      <w:r w:rsidR="0046669E" w:rsidRPr="00273F14">
        <w:rPr>
          <w:color w:val="000000"/>
        </w:rPr>
        <w:t xml:space="preserve"> </w:t>
      </w:r>
      <w:r w:rsidR="00880828" w:rsidRPr="00273F14">
        <w:rPr>
          <w:color w:val="000000"/>
        </w:rPr>
        <w:t xml:space="preserve">President’s Budget </w:t>
      </w:r>
      <w:r w:rsidR="00B21D4F" w:rsidRPr="00513F3A">
        <w:rPr>
          <w:color w:val="000000"/>
        </w:rPr>
        <w:t>estimates $</w:t>
      </w:r>
      <w:r w:rsidR="00966C61" w:rsidRPr="00513F3A">
        <w:rPr>
          <w:color w:val="000000"/>
        </w:rPr>
        <w:t>1,556,996,000</w:t>
      </w:r>
      <w:r w:rsidR="00B21D4F" w:rsidRPr="00513F3A">
        <w:rPr>
          <w:color w:val="000000"/>
        </w:rPr>
        <w:t xml:space="preserve"> in mandatory costs </w:t>
      </w:r>
      <w:r w:rsidRPr="00513F3A">
        <w:rPr>
          <w:color w:val="000000"/>
        </w:rPr>
        <w:t>for expenses of the Asset Forfeiture</w:t>
      </w:r>
      <w:r w:rsidR="00213A55" w:rsidRPr="00513F3A">
        <w:rPr>
          <w:color w:val="000000"/>
        </w:rPr>
        <w:t xml:space="preserve"> Program</w:t>
      </w:r>
      <w:r w:rsidRPr="00513F3A">
        <w:rPr>
          <w:color w:val="000000"/>
        </w:rPr>
        <w:t xml:space="preserve"> </w:t>
      </w:r>
      <w:r w:rsidR="0046669E" w:rsidRPr="00513F3A">
        <w:rPr>
          <w:color w:val="000000"/>
        </w:rPr>
        <w:t>(AF</w:t>
      </w:r>
      <w:r w:rsidR="00213A55" w:rsidRPr="00513F3A">
        <w:rPr>
          <w:color w:val="000000"/>
        </w:rPr>
        <w:t>P</w:t>
      </w:r>
      <w:r w:rsidR="00E07811" w:rsidRPr="00513F3A">
        <w:rPr>
          <w:color w:val="000000"/>
        </w:rPr>
        <w:t>)</w:t>
      </w:r>
      <w:r w:rsidR="0046669E" w:rsidRPr="00513F3A">
        <w:rPr>
          <w:color w:val="000000"/>
        </w:rPr>
        <w:t xml:space="preserve"> </w:t>
      </w:r>
      <w:r w:rsidR="00B21D4F" w:rsidRPr="00513F3A">
        <w:rPr>
          <w:color w:val="000000"/>
        </w:rPr>
        <w:t>and requests $20,948,000</w:t>
      </w:r>
      <w:r w:rsidR="00B21D4F" w:rsidRPr="005850D2">
        <w:rPr>
          <w:color w:val="000000"/>
        </w:rPr>
        <w:t xml:space="preserve"> in definite authority for the purchase</w:t>
      </w:r>
      <w:r w:rsidR="00B21D4F" w:rsidRPr="00273F14">
        <w:rPr>
          <w:color w:val="000000"/>
        </w:rPr>
        <w:t xml:space="preserve"> of evidence and information and the equipping of conveyances.  All funding s</w:t>
      </w:r>
      <w:r w:rsidRPr="00273F14">
        <w:rPr>
          <w:color w:val="000000"/>
        </w:rPr>
        <w:t>upport</w:t>
      </w:r>
      <w:r w:rsidR="00B21D4F" w:rsidRPr="00273F14">
        <w:rPr>
          <w:color w:val="000000"/>
        </w:rPr>
        <w:t>s</w:t>
      </w:r>
      <w:r w:rsidRPr="00273F14">
        <w:rPr>
          <w:color w:val="000000"/>
        </w:rPr>
        <w:t xml:space="preserve"> the Department’s Strategic Goal 2</w:t>
      </w:r>
      <w:r w:rsidR="00C90515" w:rsidRPr="00273F14">
        <w:rPr>
          <w:color w:val="000000"/>
        </w:rPr>
        <w:t xml:space="preserve">: </w:t>
      </w:r>
      <w:r w:rsidRPr="00273F14">
        <w:rPr>
          <w:color w:val="000000"/>
        </w:rPr>
        <w:t xml:space="preserve"> prevent crime, </w:t>
      </w:r>
      <w:r w:rsidR="00C90515" w:rsidRPr="00273F14">
        <w:rPr>
          <w:color w:val="000000"/>
        </w:rPr>
        <w:t xml:space="preserve">protect the rights of the American people, and </w:t>
      </w:r>
      <w:r w:rsidRPr="00273F14">
        <w:rPr>
          <w:color w:val="000000"/>
        </w:rPr>
        <w:t>enforce Federal law</w:t>
      </w:r>
      <w:r w:rsidR="00C90515" w:rsidRPr="00273F14">
        <w:rPr>
          <w:color w:val="000000"/>
        </w:rPr>
        <w:t>.</w:t>
      </w:r>
    </w:p>
    <w:p w:rsidR="00B21D4F" w:rsidRPr="00273F14" w:rsidRDefault="00B21D4F" w:rsidP="005B21C3">
      <w:pPr>
        <w:ind w:right="-180"/>
        <w:rPr>
          <w:color w:val="000000"/>
        </w:rPr>
      </w:pPr>
    </w:p>
    <w:p w:rsidR="00011D7E" w:rsidRPr="00273F14" w:rsidRDefault="00011D7E" w:rsidP="00011D7E">
      <w:pPr>
        <w:pStyle w:val="xl27"/>
        <w:numPr>
          <w:ilvl w:val="0"/>
          <w:numId w:val="18"/>
        </w:numPr>
        <w:tabs>
          <w:tab w:val="clear" w:pos="720"/>
          <w:tab w:val="num" w:pos="360"/>
        </w:tabs>
        <w:ind w:hanging="720"/>
      </w:pPr>
      <w:r w:rsidRPr="00273F14">
        <w:t xml:space="preserve">  Mission</w:t>
      </w:r>
    </w:p>
    <w:p w:rsidR="00011D7E" w:rsidRPr="003E2638" w:rsidRDefault="00011D7E" w:rsidP="003E2638">
      <w:pPr>
        <w:pStyle w:val="xl27"/>
        <w:ind w:left="720"/>
        <w:rPr>
          <w:sz w:val="22"/>
          <w:szCs w:val="22"/>
        </w:rPr>
      </w:pPr>
    </w:p>
    <w:p w:rsidR="0033480F" w:rsidRPr="0033480F" w:rsidRDefault="0033480F" w:rsidP="0033480F">
      <w:pPr>
        <w:rPr>
          <w:color w:val="000000"/>
        </w:rPr>
      </w:pPr>
      <w:r w:rsidRPr="0033480F">
        <w:rPr>
          <w:color w:val="000000"/>
        </w:rPr>
        <w:t xml:space="preserve">The AFP’s primary strategic goal is to enforce Federal laws and prevent and reduce crime by disrupting, damaging and dismantling criminal organizations through the use of civil and criminal forfeiture.  The program attempts to remove assets that are essential to the operation of those criminal organizations and punish the criminals involved by denying them the use of the proceeds of their crimes.  </w:t>
      </w:r>
    </w:p>
    <w:p w:rsidR="0033480F" w:rsidRPr="0033480F" w:rsidRDefault="0033480F" w:rsidP="0033480F">
      <w:pPr>
        <w:rPr>
          <w:color w:val="000000"/>
        </w:rPr>
      </w:pPr>
    </w:p>
    <w:p w:rsidR="0033480F" w:rsidRPr="0033480F" w:rsidRDefault="0033480F" w:rsidP="0033480F">
      <w:pPr>
        <w:rPr>
          <w:color w:val="000000"/>
        </w:rPr>
      </w:pPr>
      <w:r w:rsidRPr="0033480F">
        <w:rPr>
          <w:color w:val="000000"/>
        </w:rPr>
        <w:t>The AFP is a coordinated effort that leverages the efforts of multiple federal law enforcement agencies in support of a consolidated forfeiture program.  Inter-departmental cooperation and standardization of policies and procedures produce significant benefits, not only from a program management perspective, but also from the perspective of preserving the due process rights of citizens.   The significant effect of a less aggressive and decentralized forfeiture program is that criminal organizations have hundreds of millions of dollars more in their coffers to support their illicit operations each year and law enforcement agencies would be forced to used limited base resources to support the forfeiture process.</w:t>
      </w:r>
    </w:p>
    <w:p w:rsidR="0033480F" w:rsidRPr="0033480F" w:rsidRDefault="0033480F" w:rsidP="0033480F">
      <w:pPr>
        <w:rPr>
          <w:color w:val="000000"/>
        </w:rPr>
      </w:pPr>
    </w:p>
    <w:p w:rsidR="0033480F" w:rsidRPr="0033480F" w:rsidRDefault="0033480F" w:rsidP="0033480F">
      <w:pPr>
        <w:rPr>
          <w:color w:val="000000"/>
        </w:rPr>
      </w:pPr>
      <w:r>
        <w:rPr>
          <w:color w:val="000000"/>
        </w:rPr>
        <w:t>T</w:t>
      </w:r>
      <w:r w:rsidRPr="0033480F">
        <w:rPr>
          <w:color w:val="000000"/>
        </w:rPr>
        <w:t xml:space="preserve">he AFP not only represents an effective law enforcement tool against criminal organizations but also provides financial support to other federal law enforcement efforts, remuneration and restitution to victims, and an additional source of funding for state and local law enforcement partners.  Without this resource, agency funds would be seriously taxed to maintain and preserve seized assets, and liquidate forfeited assets.  Law enforcement operations supported by the Program would occur at reduced levels, would not be undertaken at all, or would have </w:t>
      </w:r>
      <w:r w:rsidR="005B4D90">
        <w:rPr>
          <w:color w:val="000000"/>
        </w:rPr>
        <w:t xml:space="preserve">to </w:t>
      </w:r>
      <w:r w:rsidRPr="0033480F">
        <w:rPr>
          <w:color w:val="000000"/>
        </w:rPr>
        <w:t xml:space="preserve">compete with limited funding from other sources.  Finally, the AFP supports aggressive Program related training, case evaluations, funds management, and contract support to produce an </w:t>
      </w:r>
      <w:r w:rsidR="0009029C">
        <w:rPr>
          <w:color w:val="000000"/>
        </w:rPr>
        <w:t>A</w:t>
      </w:r>
      <w:r w:rsidRPr="0033480F">
        <w:rPr>
          <w:color w:val="000000"/>
        </w:rPr>
        <w:t xml:space="preserve">sset </w:t>
      </w:r>
      <w:r w:rsidR="0009029C">
        <w:rPr>
          <w:color w:val="000000"/>
        </w:rPr>
        <w:t>F</w:t>
      </w:r>
      <w:r w:rsidRPr="0033480F">
        <w:rPr>
          <w:color w:val="000000"/>
        </w:rPr>
        <w:t xml:space="preserve">orfeiture </w:t>
      </w:r>
      <w:r w:rsidR="0009029C">
        <w:rPr>
          <w:color w:val="000000"/>
        </w:rPr>
        <w:t>P</w:t>
      </w:r>
      <w:r w:rsidRPr="0033480F">
        <w:rPr>
          <w:color w:val="000000"/>
        </w:rPr>
        <w:t>rogram that provides the greatest benefit to our society.</w:t>
      </w:r>
    </w:p>
    <w:p w:rsidR="0033480F" w:rsidRPr="0033480F" w:rsidRDefault="0033480F" w:rsidP="0033480F">
      <w:pPr>
        <w:rPr>
          <w:color w:val="000000"/>
        </w:rPr>
      </w:pPr>
    </w:p>
    <w:p w:rsidR="00011D7E" w:rsidRPr="0033480F" w:rsidRDefault="005C6A32" w:rsidP="003E2638">
      <w:pPr>
        <w:rPr>
          <w:color w:val="000000"/>
        </w:rPr>
      </w:pPr>
      <w:r w:rsidRPr="0033480F">
        <w:rPr>
          <w:color w:val="000000"/>
        </w:rPr>
        <w:t>By establishing standardized forfeiture policies and procedures, the AFP fosters inter-departmental cooperation and effective program management oversight that continues to produce significant law enforcement results while preserving the due process rights of citizens</w:t>
      </w:r>
      <w:r w:rsidR="00D16498" w:rsidRPr="0033480F">
        <w:rPr>
          <w:color w:val="000000"/>
        </w:rPr>
        <w:t xml:space="preserve">.  In FY 2012 the </w:t>
      </w:r>
      <w:r w:rsidR="00CF1C59" w:rsidRPr="0033480F">
        <w:rPr>
          <w:color w:val="000000"/>
        </w:rPr>
        <w:t>P</w:t>
      </w:r>
      <w:r w:rsidR="00966C61" w:rsidRPr="0033480F">
        <w:rPr>
          <w:color w:val="000000"/>
        </w:rPr>
        <w:t>rogram recorded total net forfeiture deposits of</w:t>
      </w:r>
      <w:r w:rsidR="00D16498" w:rsidRPr="0033480F">
        <w:rPr>
          <w:color w:val="000000"/>
        </w:rPr>
        <w:t xml:space="preserve"> $</w:t>
      </w:r>
      <w:r w:rsidR="00966C61" w:rsidRPr="0033480F">
        <w:rPr>
          <w:color w:val="000000"/>
        </w:rPr>
        <w:t>4.2</w:t>
      </w:r>
      <w:r w:rsidR="00D16498" w:rsidRPr="0033480F">
        <w:rPr>
          <w:color w:val="000000"/>
        </w:rPr>
        <w:t xml:space="preserve"> billion as a result of AFP’s coordinated forfeiture support services and the law enforcement efforts of the Program’s participating member agencies.</w:t>
      </w:r>
      <w:r w:rsidR="00D16498" w:rsidRPr="0033480F">
        <w:rPr>
          <w:rStyle w:val="FootnoteReference"/>
          <w:color w:val="000000"/>
        </w:rPr>
        <w:footnoteReference w:id="1"/>
      </w:r>
      <w:r w:rsidR="00D16498" w:rsidRPr="0033480F">
        <w:rPr>
          <w:color w:val="000000"/>
        </w:rPr>
        <w:t xml:space="preserve">  </w:t>
      </w:r>
      <w:r w:rsidR="002E48D2" w:rsidRPr="0033480F">
        <w:rPr>
          <w:color w:val="000000"/>
        </w:rPr>
        <w:lastRenderedPageBreak/>
        <w:t>These results would not be possible without the AFP’s specialized support</w:t>
      </w:r>
      <w:r w:rsidR="00381552" w:rsidRPr="0033480F">
        <w:rPr>
          <w:color w:val="000000"/>
        </w:rPr>
        <w:t xml:space="preserve"> capabilities</w:t>
      </w:r>
      <w:r w:rsidR="002E48D2" w:rsidRPr="0033480F">
        <w:rPr>
          <w:color w:val="000000"/>
        </w:rPr>
        <w:t xml:space="preserve"> in the areas of contract management, IT systems, policy formulation, financial management, and program evaluation. </w:t>
      </w:r>
    </w:p>
    <w:p w:rsidR="00011D7E" w:rsidRPr="0033480F" w:rsidRDefault="00011D7E" w:rsidP="00011D7E">
      <w:pPr>
        <w:rPr>
          <w:color w:val="000000"/>
        </w:rPr>
      </w:pPr>
    </w:p>
    <w:p w:rsidR="00D16498" w:rsidRPr="0033480F" w:rsidRDefault="00B972C6" w:rsidP="003E1F3A">
      <w:pPr>
        <w:rPr>
          <w:color w:val="000000"/>
        </w:rPr>
      </w:pPr>
      <w:r>
        <w:rPr>
          <w:color w:val="000000"/>
        </w:rPr>
        <w:t xml:space="preserve">In addition to combatting criminal organizations, the AFP </w:t>
      </w:r>
      <w:r w:rsidR="00011D7E" w:rsidRPr="0033480F">
        <w:rPr>
          <w:color w:val="000000"/>
        </w:rPr>
        <w:t xml:space="preserve">also </w:t>
      </w:r>
      <w:r w:rsidR="00013B82" w:rsidRPr="0033480F">
        <w:rPr>
          <w:color w:val="000000"/>
        </w:rPr>
        <w:t>facilitates the</w:t>
      </w:r>
      <w:r w:rsidR="00724071" w:rsidRPr="0033480F">
        <w:rPr>
          <w:color w:val="000000"/>
        </w:rPr>
        <w:t xml:space="preserve"> </w:t>
      </w:r>
      <w:r w:rsidR="00273F14" w:rsidRPr="0033480F">
        <w:rPr>
          <w:color w:val="000000"/>
        </w:rPr>
        <w:t>remuneration</w:t>
      </w:r>
      <w:r w:rsidR="00724071" w:rsidRPr="0033480F">
        <w:rPr>
          <w:color w:val="000000"/>
        </w:rPr>
        <w:t xml:space="preserve"> and restitution</w:t>
      </w:r>
      <w:r w:rsidR="00013B82" w:rsidRPr="0033480F">
        <w:rPr>
          <w:color w:val="000000"/>
        </w:rPr>
        <w:t xml:space="preserve"> of funds</w:t>
      </w:r>
      <w:r w:rsidR="00724071" w:rsidRPr="0033480F">
        <w:rPr>
          <w:color w:val="000000"/>
        </w:rPr>
        <w:t xml:space="preserve"> to victims</w:t>
      </w:r>
      <w:r w:rsidR="00013B82" w:rsidRPr="0033480F">
        <w:rPr>
          <w:color w:val="000000"/>
        </w:rPr>
        <w:t xml:space="preserve"> of crime</w:t>
      </w:r>
      <w:r w:rsidR="00724071" w:rsidRPr="0033480F">
        <w:rPr>
          <w:color w:val="000000"/>
        </w:rPr>
        <w:t xml:space="preserve"> and </w:t>
      </w:r>
      <w:r w:rsidR="00013B82" w:rsidRPr="0033480F">
        <w:rPr>
          <w:color w:val="000000"/>
        </w:rPr>
        <w:t>provides s</w:t>
      </w:r>
      <w:r w:rsidR="00724071" w:rsidRPr="0033480F">
        <w:rPr>
          <w:color w:val="000000"/>
        </w:rPr>
        <w:t>tate and local law enforcement partners</w:t>
      </w:r>
      <w:r w:rsidR="00013B82" w:rsidRPr="0033480F">
        <w:rPr>
          <w:color w:val="000000"/>
        </w:rPr>
        <w:t xml:space="preserve"> with an additional source of financial support</w:t>
      </w:r>
      <w:r w:rsidR="00011D7E" w:rsidRPr="0033480F">
        <w:rPr>
          <w:color w:val="000000"/>
        </w:rPr>
        <w:t>.</w:t>
      </w:r>
      <w:r w:rsidR="009A2B32" w:rsidRPr="0033480F">
        <w:rPr>
          <w:color w:val="000000"/>
        </w:rPr>
        <w:t xml:space="preserve">  </w:t>
      </w:r>
      <w:r w:rsidR="00D16498" w:rsidRPr="0033480F">
        <w:rPr>
          <w:color w:val="000000"/>
        </w:rPr>
        <w:t>I</w:t>
      </w:r>
      <w:r w:rsidR="009A2B32" w:rsidRPr="0033480F">
        <w:rPr>
          <w:color w:val="000000"/>
        </w:rPr>
        <w:t>n FY 2012 the AFP paid</w:t>
      </w:r>
      <w:r w:rsidR="005C6A32" w:rsidRPr="0033480F">
        <w:rPr>
          <w:color w:val="000000"/>
        </w:rPr>
        <w:t xml:space="preserve"> out</w:t>
      </w:r>
      <w:r w:rsidR="009A2B32" w:rsidRPr="0033480F">
        <w:rPr>
          <w:color w:val="000000"/>
        </w:rPr>
        <w:t xml:space="preserve"> over $</w:t>
      </w:r>
      <w:r w:rsidR="00E278D4">
        <w:rPr>
          <w:color w:val="000000"/>
        </w:rPr>
        <w:t>3.0</w:t>
      </w:r>
      <w:r w:rsidR="003E2638" w:rsidRPr="0033480F">
        <w:rPr>
          <w:color w:val="000000"/>
        </w:rPr>
        <w:t xml:space="preserve"> billion</w:t>
      </w:r>
      <w:r w:rsidR="009A2B32" w:rsidRPr="0033480F">
        <w:rPr>
          <w:color w:val="000000"/>
        </w:rPr>
        <w:t xml:space="preserve"> to victims and $</w:t>
      </w:r>
      <w:r w:rsidR="00E278D4">
        <w:rPr>
          <w:color w:val="000000"/>
        </w:rPr>
        <w:t>841</w:t>
      </w:r>
      <w:r w:rsidR="00DC49EF">
        <w:rPr>
          <w:color w:val="000000"/>
        </w:rPr>
        <w:t>.1</w:t>
      </w:r>
      <w:r w:rsidR="009A2B32" w:rsidRPr="0033480F">
        <w:rPr>
          <w:color w:val="000000"/>
        </w:rPr>
        <w:t xml:space="preserve"> million to state and local law enforcement</w:t>
      </w:r>
      <w:r w:rsidR="005C6A32" w:rsidRPr="0033480F">
        <w:rPr>
          <w:color w:val="000000"/>
        </w:rPr>
        <w:t xml:space="preserve"> partners participating in </w:t>
      </w:r>
      <w:r w:rsidR="00412FAD">
        <w:rPr>
          <w:color w:val="000000"/>
        </w:rPr>
        <w:t>f</w:t>
      </w:r>
      <w:r w:rsidR="005C6A32" w:rsidRPr="0033480F">
        <w:rPr>
          <w:color w:val="000000"/>
        </w:rPr>
        <w:t>ederal investigations</w:t>
      </w:r>
      <w:r w:rsidR="009A2B32" w:rsidRPr="0033480F">
        <w:rPr>
          <w:color w:val="000000"/>
        </w:rPr>
        <w:t>.</w:t>
      </w:r>
      <w:r w:rsidR="009D3474" w:rsidRPr="0033480F">
        <w:rPr>
          <w:color w:val="000000"/>
        </w:rPr>
        <w:t xml:space="preserve"> </w:t>
      </w:r>
      <w:r w:rsidR="009A2B32" w:rsidRPr="0033480F">
        <w:rPr>
          <w:color w:val="000000"/>
        </w:rPr>
        <w:t xml:space="preserve"> </w:t>
      </w:r>
    </w:p>
    <w:p w:rsidR="00D16498" w:rsidRPr="0033480F" w:rsidRDefault="00D16498" w:rsidP="003E1F3A">
      <w:pPr>
        <w:rPr>
          <w:color w:val="000000"/>
        </w:rPr>
      </w:pPr>
    </w:p>
    <w:p w:rsidR="003E1F3A" w:rsidRDefault="00011D7E" w:rsidP="003E1F3A">
      <w:pPr>
        <w:rPr>
          <w:color w:val="000000"/>
        </w:rPr>
      </w:pPr>
      <w:r w:rsidRPr="0033480F">
        <w:rPr>
          <w:color w:val="000000"/>
        </w:rPr>
        <w:t xml:space="preserve">Without </w:t>
      </w:r>
      <w:r w:rsidR="00D16498" w:rsidRPr="0033480F">
        <w:rPr>
          <w:color w:val="000000"/>
        </w:rPr>
        <w:t>the AFP</w:t>
      </w:r>
      <w:r w:rsidRPr="0033480F">
        <w:rPr>
          <w:color w:val="000000"/>
        </w:rPr>
        <w:t xml:space="preserve">, </w:t>
      </w:r>
      <w:r w:rsidR="003E1F3A" w:rsidRPr="0033480F">
        <w:rPr>
          <w:color w:val="000000"/>
        </w:rPr>
        <w:t xml:space="preserve">agencies would be left to </w:t>
      </w:r>
      <w:r w:rsidR="00D16498" w:rsidRPr="0033480F">
        <w:rPr>
          <w:color w:val="000000"/>
        </w:rPr>
        <w:t>organize and fund forfeiture operations</w:t>
      </w:r>
      <w:r w:rsidR="003E1F3A" w:rsidRPr="0033480F">
        <w:rPr>
          <w:color w:val="000000"/>
        </w:rPr>
        <w:t xml:space="preserve"> with limited base resources</w:t>
      </w:r>
      <w:r w:rsidR="00412FAD">
        <w:rPr>
          <w:color w:val="000000"/>
        </w:rPr>
        <w:t>. Furthermore,</w:t>
      </w:r>
      <w:r w:rsidR="003E1F3A" w:rsidRPr="0033480F">
        <w:rPr>
          <w:color w:val="000000"/>
        </w:rPr>
        <w:t xml:space="preserve"> the inherent </w:t>
      </w:r>
      <w:r w:rsidR="003E1F3A" w:rsidRPr="0033480F">
        <w:t xml:space="preserve">economic disincentives that at one time severely limited the use of </w:t>
      </w:r>
      <w:r w:rsidR="00D16498" w:rsidRPr="0033480F">
        <w:t>this powerful and highly effective law enforcement tool</w:t>
      </w:r>
      <w:r w:rsidR="003E1F3A" w:rsidRPr="0033480F">
        <w:t xml:space="preserve"> may once again force the suspension of coordinated </w:t>
      </w:r>
      <w:r w:rsidR="003E1F3A" w:rsidRPr="0033480F">
        <w:rPr>
          <w:color w:val="000000"/>
        </w:rPr>
        <w:t xml:space="preserve">forfeiture operations at the </w:t>
      </w:r>
      <w:r w:rsidR="00412FAD">
        <w:rPr>
          <w:color w:val="000000"/>
        </w:rPr>
        <w:t>f</w:t>
      </w:r>
      <w:r w:rsidR="003E1F3A" w:rsidRPr="0033480F">
        <w:rPr>
          <w:color w:val="000000"/>
        </w:rPr>
        <w:t>ederal level.</w:t>
      </w:r>
      <w:r w:rsidR="00D16498" w:rsidRPr="00D16498">
        <w:rPr>
          <w:color w:val="000000"/>
        </w:rPr>
        <w:t xml:space="preserve"> </w:t>
      </w:r>
    </w:p>
    <w:p w:rsidR="003E1F3A" w:rsidRPr="00273F14" w:rsidRDefault="003E1F3A" w:rsidP="003E1F3A">
      <w:pPr>
        <w:rPr>
          <w:color w:val="000000"/>
        </w:rPr>
      </w:pPr>
    </w:p>
    <w:p w:rsidR="00011D7E" w:rsidRPr="00273F14" w:rsidRDefault="00011D7E" w:rsidP="00011D7E">
      <w:pPr>
        <w:ind w:right="-180"/>
        <w:rPr>
          <w:color w:val="000000"/>
        </w:rPr>
      </w:pPr>
    </w:p>
    <w:p w:rsidR="00011D7E" w:rsidRPr="00273F14" w:rsidRDefault="001B164A" w:rsidP="00011D7E">
      <w:pPr>
        <w:pStyle w:val="xl27"/>
        <w:numPr>
          <w:ilvl w:val="0"/>
          <w:numId w:val="18"/>
        </w:numPr>
        <w:tabs>
          <w:tab w:val="clear" w:pos="720"/>
          <w:tab w:val="num" w:pos="360"/>
        </w:tabs>
        <w:ind w:hanging="720"/>
      </w:pPr>
      <w:r w:rsidRPr="00273F14">
        <w:t xml:space="preserve">  Explanation of the Fund</w:t>
      </w:r>
    </w:p>
    <w:p w:rsidR="00011D7E" w:rsidRPr="00273F14" w:rsidRDefault="00011D7E" w:rsidP="00011D7E">
      <w:pPr>
        <w:ind w:right="-180"/>
        <w:rPr>
          <w:lang w:val="en-CA"/>
        </w:rPr>
      </w:pPr>
    </w:p>
    <w:p w:rsidR="005B21C3" w:rsidRPr="00273F14" w:rsidRDefault="003A67AF" w:rsidP="005B21C3">
      <w:pPr>
        <w:ind w:right="-180"/>
        <w:rPr>
          <w:color w:val="000000"/>
        </w:rPr>
      </w:pPr>
      <w:r w:rsidRPr="00273F14">
        <w:rPr>
          <w:lang w:val="en-CA"/>
        </w:rPr>
        <w:t>The AFP is supported by t</w:t>
      </w:r>
      <w:r w:rsidR="005B21C3" w:rsidRPr="00273F14">
        <w:rPr>
          <w:color w:val="000000"/>
        </w:rPr>
        <w:t xml:space="preserve">he Assets Forfeiture Fund </w:t>
      </w:r>
      <w:r w:rsidR="00573823" w:rsidRPr="00273F14">
        <w:rPr>
          <w:color w:val="000000"/>
        </w:rPr>
        <w:t>(AFF)</w:t>
      </w:r>
      <w:r w:rsidRPr="00273F14">
        <w:rPr>
          <w:color w:val="000000"/>
        </w:rPr>
        <w:t>, which</w:t>
      </w:r>
      <w:r w:rsidR="00573823" w:rsidRPr="00273F14">
        <w:rPr>
          <w:color w:val="000000"/>
        </w:rPr>
        <w:t xml:space="preserve"> </w:t>
      </w:r>
      <w:r w:rsidR="005B21C3" w:rsidRPr="00273F14">
        <w:rPr>
          <w:color w:val="000000"/>
        </w:rPr>
        <w:t xml:space="preserve">was created by the Comprehensive Crime Control Act of 1984 (P.L. 98-473, dated October 12, 1984) to be a repository of the proceeds of forfeitures under any law enforced and administered by the Department of Justice (see 28 U.S.C. 524(c)).  </w:t>
      </w:r>
    </w:p>
    <w:p w:rsidR="005B21C3" w:rsidRPr="00273F14" w:rsidRDefault="005B21C3" w:rsidP="005B21C3">
      <w:pPr>
        <w:rPr>
          <w:color w:val="000000"/>
        </w:rPr>
      </w:pPr>
    </w:p>
    <w:p w:rsidR="005B21C3" w:rsidRPr="00273F14" w:rsidRDefault="005B21C3" w:rsidP="005B21C3">
      <w:pPr>
        <w:rPr>
          <w:color w:val="000000"/>
        </w:rPr>
      </w:pPr>
      <w:r w:rsidRPr="00273F14">
        <w:rPr>
          <w:color w:val="000000"/>
        </w:rPr>
        <w:t xml:space="preserve">The primary purpose of the Fund is to provide a stable source of resources to cover the costs of an effective </w:t>
      </w:r>
      <w:r w:rsidR="00334271" w:rsidRPr="00273F14">
        <w:rPr>
          <w:color w:val="000000"/>
        </w:rPr>
        <w:t>AFP</w:t>
      </w:r>
      <w:r w:rsidRPr="00273F14">
        <w:rPr>
          <w:color w:val="000000"/>
        </w:rPr>
        <w:t xml:space="preserve">, including the costs of seizing, evaluating, inventorying, maintaining, protecting, advertising, forfeiting, and disposing of property seized for forfeiture.  Prior to </w:t>
      </w:r>
      <w:r w:rsidR="002E712F" w:rsidRPr="00273F14">
        <w:rPr>
          <w:color w:val="000000"/>
        </w:rPr>
        <w:t xml:space="preserve">the </w:t>
      </w:r>
      <w:r w:rsidRPr="00273F14">
        <w:rPr>
          <w:color w:val="000000"/>
        </w:rPr>
        <w:t xml:space="preserve">creation of the Fund in 1985, </w:t>
      </w:r>
      <w:r w:rsidR="002E712F" w:rsidRPr="00273F14">
        <w:rPr>
          <w:color w:val="000000"/>
        </w:rPr>
        <w:t xml:space="preserve">the </w:t>
      </w:r>
      <w:r w:rsidRPr="00273F14">
        <w:rPr>
          <w:color w:val="000000"/>
        </w:rPr>
        <w:t xml:space="preserve">costs of these activities had to be diverted from agency operational funds.  The more effective an agency was in seizing property, the greater the drain on its appropriated funds.  </w:t>
      </w:r>
      <w:r w:rsidR="002E712F" w:rsidRPr="00273F14">
        <w:rPr>
          <w:color w:val="000000"/>
        </w:rPr>
        <w:t>The c</w:t>
      </w:r>
      <w:r w:rsidRPr="00273F14">
        <w:rPr>
          <w:color w:val="000000"/>
        </w:rPr>
        <w:t xml:space="preserve">reation of the Fund is responsible, in large measure, for the growth in the Department's </w:t>
      </w:r>
      <w:r w:rsidR="009D3474" w:rsidRPr="00273F14">
        <w:rPr>
          <w:color w:val="000000"/>
        </w:rPr>
        <w:t>Assets F</w:t>
      </w:r>
      <w:r w:rsidRPr="00273F14">
        <w:rPr>
          <w:color w:val="000000"/>
        </w:rPr>
        <w:t xml:space="preserve">orfeiture </w:t>
      </w:r>
      <w:r w:rsidR="009D3474" w:rsidRPr="00273F14">
        <w:rPr>
          <w:color w:val="000000"/>
        </w:rPr>
        <w:t>P</w:t>
      </w:r>
      <w:r w:rsidRPr="00273F14">
        <w:rPr>
          <w:color w:val="000000"/>
        </w:rPr>
        <w:t xml:space="preserve">rogram over the past decade.  </w:t>
      </w:r>
      <w:r w:rsidR="009D3474" w:rsidRPr="00273F14">
        <w:rPr>
          <w:color w:val="000000"/>
        </w:rPr>
        <w:t xml:space="preserve">The Program in turn has supported the increase of seized assets through coordinated investigative efforts and effective asset management.  Increases in resources have </w:t>
      </w:r>
      <w:r w:rsidR="00273F14" w:rsidRPr="003E2638">
        <w:rPr>
          <w:color w:val="000000"/>
        </w:rPr>
        <w:t>permitted</w:t>
      </w:r>
      <w:r w:rsidR="009D3474" w:rsidRPr="00273F14">
        <w:rPr>
          <w:color w:val="000000"/>
        </w:rPr>
        <w:t xml:space="preserve"> the AFP to remove more assets essential to criminal activity.   </w:t>
      </w:r>
      <w:r w:rsidRPr="00273F14">
        <w:rPr>
          <w:color w:val="000000"/>
        </w:rPr>
        <w:t>A secondary benefit of an aggressive and well-managed forfeiture program is the production of surplus revenues to assist in financing important law enforcement programs.  If the forfeiture program ceases to function effectively in its primary role, these surplus revenues will not be generated.</w:t>
      </w:r>
    </w:p>
    <w:p w:rsidR="005B21C3" w:rsidRPr="00273F14" w:rsidRDefault="005B21C3" w:rsidP="005B21C3">
      <w:pPr>
        <w:rPr>
          <w:color w:val="000000"/>
        </w:rPr>
      </w:pPr>
    </w:p>
    <w:p w:rsidR="00224A36" w:rsidRDefault="005B21C3">
      <w:pPr>
        <w:pStyle w:val="BodyText"/>
      </w:pPr>
      <w:r w:rsidRPr="00273F14">
        <w:t xml:space="preserve">Table 1 </w:t>
      </w:r>
      <w:r w:rsidR="009642D9" w:rsidRPr="00273F14">
        <w:t xml:space="preserve">on page </w:t>
      </w:r>
      <w:r w:rsidR="00861645">
        <w:t>3</w:t>
      </w:r>
      <w:r w:rsidR="009642D9" w:rsidRPr="00273F14">
        <w:t xml:space="preserve"> </w:t>
      </w:r>
      <w:r w:rsidRPr="00273F14">
        <w:t xml:space="preserve">displays the functional activities of the participating agencies.  </w:t>
      </w:r>
      <w:r w:rsidR="00B736FF" w:rsidRPr="00273F14">
        <w:t xml:space="preserve">For the full names of the participating agencies, see </w:t>
      </w:r>
      <w:r w:rsidR="00107531" w:rsidRPr="00273F14">
        <w:t>f</w:t>
      </w:r>
      <w:r w:rsidR="00B736FF" w:rsidRPr="00273F14">
        <w:t xml:space="preserve">ootnote 1.  </w:t>
      </w:r>
      <w:r w:rsidRPr="00273F14">
        <w:t xml:space="preserve">These agencies investigate or prosecute criminal activity under statutes, such as the Comprehensive Drug Abuse Prevention and Control Act of 1970, the Racketeer Influenced and Corrupt Organizations statute, the Controlled Substances Act, and the Money Laundering Control Act, or provide administrative support services to the program.   </w:t>
      </w:r>
    </w:p>
    <w:p w:rsidR="004A3EBA" w:rsidRDefault="004A3EBA">
      <w:pPr>
        <w:pStyle w:val="BodyText"/>
      </w:pPr>
    </w:p>
    <w:p w:rsidR="004A3EBA" w:rsidRDefault="004A3EBA">
      <w:pPr>
        <w:pStyle w:val="BodyText"/>
      </w:pPr>
    </w:p>
    <w:p w:rsidR="004A3EBA" w:rsidRPr="00273F14" w:rsidRDefault="004A3EBA">
      <w:pPr>
        <w:pStyle w:val="BodyText"/>
        <w:rPr>
          <w:i/>
          <w:iCs/>
        </w:rPr>
      </w:pPr>
    </w:p>
    <w:p w:rsidR="00536E70" w:rsidRPr="00273F14" w:rsidRDefault="00536E70" w:rsidP="00536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rsidR="007E0FD6" w:rsidRPr="00273F14" w:rsidRDefault="007E0FD6" w:rsidP="00536E70">
      <w:pPr>
        <w:keepLines/>
        <w:jc w:val="center"/>
      </w:pPr>
    </w:p>
    <w:tbl>
      <w:tblPr>
        <w:tblW w:w="10170" w:type="dxa"/>
        <w:tblInd w:w="-342" w:type="dxa"/>
        <w:tblLayout w:type="fixed"/>
        <w:tblLook w:val="04A0" w:firstRow="1" w:lastRow="0" w:firstColumn="1" w:lastColumn="0" w:noHBand="0" w:noVBand="1"/>
      </w:tblPr>
      <w:tblGrid>
        <w:gridCol w:w="1226"/>
        <w:gridCol w:w="934"/>
        <w:gridCol w:w="810"/>
        <w:gridCol w:w="720"/>
        <w:gridCol w:w="630"/>
        <w:gridCol w:w="630"/>
        <w:gridCol w:w="630"/>
        <w:gridCol w:w="540"/>
        <w:gridCol w:w="810"/>
        <w:gridCol w:w="540"/>
        <w:gridCol w:w="630"/>
        <w:gridCol w:w="720"/>
        <w:gridCol w:w="720"/>
        <w:gridCol w:w="630"/>
      </w:tblGrid>
      <w:tr w:rsidR="007E0FD6" w:rsidRPr="00273F14" w:rsidTr="007E0FD6">
        <w:trPr>
          <w:trHeight w:val="360"/>
        </w:trPr>
        <w:tc>
          <w:tcPr>
            <w:tcW w:w="1226" w:type="dxa"/>
            <w:tcBorders>
              <w:top w:val="single" w:sz="12" w:space="0" w:color="4F81BD"/>
              <w:left w:val="single" w:sz="12" w:space="0" w:color="4F81BD"/>
              <w:bottom w:val="single" w:sz="12" w:space="0" w:color="4F81BD"/>
              <w:right w:val="single" w:sz="12" w:space="0" w:color="4F81BD"/>
            </w:tcBorders>
            <w:shd w:val="clear" w:color="000000" w:fill="4F81BD"/>
            <w:noWrap/>
            <w:vAlign w:val="bottom"/>
            <w:hideMark/>
          </w:tcPr>
          <w:p w:rsidR="007E0FD6" w:rsidRPr="00273F14" w:rsidRDefault="007E0FD6" w:rsidP="007E0FD6">
            <w:pPr>
              <w:rPr>
                <w:rFonts w:ascii="Calibri" w:hAnsi="Calibri"/>
                <w:color w:val="FFFFFF"/>
                <w:sz w:val="22"/>
                <w:szCs w:val="22"/>
              </w:rPr>
            </w:pPr>
            <w:r w:rsidRPr="00273F14">
              <w:rPr>
                <w:rFonts w:ascii="Calibri" w:hAnsi="Calibri"/>
                <w:color w:val="FFFFFF"/>
                <w:sz w:val="22"/>
                <w:szCs w:val="22"/>
              </w:rPr>
              <w:lastRenderedPageBreak/>
              <w:t> </w:t>
            </w:r>
          </w:p>
        </w:tc>
        <w:tc>
          <w:tcPr>
            <w:tcW w:w="8944" w:type="dxa"/>
            <w:gridSpan w:val="13"/>
            <w:tcBorders>
              <w:top w:val="single" w:sz="12" w:space="0" w:color="4F81BD"/>
              <w:left w:val="single" w:sz="12" w:space="0" w:color="4F81BD"/>
              <w:bottom w:val="single" w:sz="12" w:space="0" w:color="4F81BD"/>
              <w:right w:val="single" w:sz="12" w:space="0" w:color="4F81BD"/>
            </w:tcBorders>
            <w:shd w:val="clear" w:color="000000" w:fill="4F81BD"/>
            <w:noWrap/>
            <w:hideMark/>
          </w:tcPr>
          <w:p w:rsidR="007E0FD6" w:rsidRPr="00273F14" w:rsidRDefault="007E0FD6" w:rsidP="00F13397">
            <w:pPr>
              <w:jc w:val="center"/>
              <w:rPr>
                <w:b/>
                <w:bCs/>
                <w:color w:val="FFFFFF"/>
                <w:u w:val="single"/>
              </w:rPr>
            </w:pPr>
            <w:r w:rsidRPr="00273F14">
              <w:rPr>
                <w:b/>
                <w:bCs/>
                <w:color w:val="FFFFFF"/>
                <w:u w:val="single"/>
              </w:rPr>
              <w:t>Table 1: Asset Forfeiture Program Participants by Function</w:t>
            </w:r>
          </w:p>
        </w:tc>
      </w:tr>
      <w:tr w:rsidR="007E0FD6" w:rsidRPr="00273F14" w:rsidTr="007E0FD6">
        <w:trPr>
          <w:trHeight w:val="315"/>
        </w:trPr>
        <w:tc>
          <w:tcPr>
            <w:tcW w:w="1226" w:type="dxa"/>
            <w:tcBorders>
              <w:top w:val="single" w:sz="12" w:space="0" w:color="4F81BD"/>
              <w:left w:val="single" w:sz="12" w:space="0" w:color="4F81BD"/>
              <w:bottom w:val="single" w:sz="12" w:space="0" w:color="4F81BD"/>
              <w:right w:val="single" w:sz="12" w:space="0" w:color="4F81BD"/>
            </w:tcBorders>
            <w:shd w:val="clear" w:color="000000" w:fill="4F81BD"/>
            <w:vAlign w:val="bottom"/>
            <w:hideMark/>
          </w:tcPr>
          <w:p w:rsidR="007E0FD6" w:rsidRPr="00273F14" w:rsidRDefault="007E0FD6" w:rsidP="007E0FD6">
            <w:pPr>
              <w:jc w:val="right"/>
              <w:rPr>
                <w:b/>
                <w:bCs/>
                <w:color w:val="FFFFFF"/>
                <w:sz w:val="16"/>
                <w:szCs w:val="16"/>
              </w:rPr>
            </w:pPr>
            <w:r w:rsidRPr="00273F14">
              <w:rPr>
                <w:b/>
                <w:bCs/>
                <w:color w:val="FFFFFF"/>
                <w:sz w:val="16"/>
                <w:szCs w:val="16"/>
              </w:rPr>
              <w:t>Function</w:t>
            </w:r>
          </w:p>
        </w:tc>
        <w:tc>
          <w:tcPr>
            <w:tcW w:w="934"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OCDETF</w:t>
            </w:r>
          </w:p>
        </w:tc>
        <w:tc>
          <w:tcPr>
            <w:tcW w:w="81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AFMLS</w:t>
            </w:r>
          </w:p>
        </w:tc>
        <w:tc>
          <w:tcPr>
            <w:tcW w:w="72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AFMS</w:t>
            </w:r>
          </w:p>
        </w:tc>
        <w:tc>
          <w:tcPr>
            <w:tcW w:w="63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ATF</w:t>
            </w:r>
          </w:p>
        </w:tc>
        <w:tc>
          <w:tcPr>
            <w:tcW w:w="63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DCIS</w:t>
            </w:r>
          </w:p>
        </w:tc>
        <w:tc>
          <w:tcPr>
            <w:tcW w:w="63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DEA</w:t>
            </w:r>
          </w:p>
        </w:tc>
        <w:tc>
          <w:tcPr>
            <w:tcW w:w="54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DS</w:t>
            </w:r>
          </w:p>
        </w:tc>
        <w:tc>
          <w:tcPr>
            <w:tcW w:w="81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EOUSA</w:t>
            </w:r>
          </w:p>
        </w:tc>
        <w:tc>
          <w:tcPr>
            <w:tcW w:w="54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FBI</w:t>
            </w:r>
          </w:p>
        </w:tc>
        <w:tc>
          <w:tcPr>
            <w:tcW w:w="63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FDA</w:t>
            </w:r>
          </w:p>
        </w:tc>
        <w:tc>
          <w:tcPr>
            <w:tcW w:w="72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USDA</w:t>
            </w:r>
          </w:p>
        </w:tc>
        <w:tc>
          <w:tcPr>
            <w:tcW w:w="72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USMS</w:t>
            </w:r>
          </w:p>
        </w:tc>
        <w:tc>
          <w:tcPr>
            <w:tcW w:w="630" w:type="dxa"/>
            <w:tcBorders>
              <w:top w:val="single" w:sz="12" w:space="0" w:color="4F81BD"/>
              <w:left w:val="single" w:sz="12" w:space="0" w:color="4F81BD"/>
              <w:bottom w:val="single" w:sz="12" w:space="0" w:color="4F81BD"/>
              <w:right w:val="single" w:sz="12" w:space="0" w:color="4F81BD"/>
            </w:tcBorders>
            <w:shd w:val="clear" w:color="4F81BD" w:fill="4F81BD"/>
            <w:vAlign w:val="bottom"/>
            <w:hideMark/>
          </w:tcPr>
          <w:p w:rsidR="007E0FD6" w:rsidRPr="00273F14" w:rsidRDefault="007E0FD6" w:rsidP="007E0FD6">
            <w:pPr>
              <w:jc w:val="center"/>
              <w:rPr>
                <w:b/>
                <w:bCs/>
                <w:color w:val="FFFFFF"/>
                <w:sz w:val="16"/>
                <w:szCs w:val="16"/>
              </w:rPr>
            </w:pPr>
            <w:r w:rsidRPr="00273F14">
              <w:rPr>
                <w:b/>
                <w:bCs/>
                <w:color w:val="FFFFFF"/>
                <w:sz w:val="16"/>
                <w:szCs w:val="16"/>
              </w:rPr>
              <w:t>USPS</w:t>
            </w:r>
          </w:p>
        </w:tc>
      </w:tr>
      <w:tr w:rsidR="007E0FD6" w:rsidRPr="00273F14" w:rsidTr="007E0FD6">
        <w:trPr>
          <w:trHeight w:val="300"/>
        </w:trPr>
        <w:tc>
          <w:tcPr>
            <w:tcW w:w="1226" w:type="dxa"/>
            <w:tcBorders>
              <w:top w:val="single" w:sz="12" w:space="0" w:color="4F81BD"/>
              <w:left w:val="single" w:sz="12" w:space="0" w:color="4F81BD"/>
              <w:bottom w:val="nil"/>
              <w:right w:val="single" w:sz="12" w:space="0" w:color="4F81BD"/>
            </w:tcBorders>
            <w:shd w:val="clear" w:color="auto" w:fill="auto"/>
            <w:vAlign w:val="bottom"/>
            <w:hideMark/>
          </w:tcPr>
          <w:p w:rsidR="007E0FD6" w:rsidRPr="00273F14" w:rsidRDefault="007E0FD6" w:rsidP="007E0FD6">
            <w:pPr>
              <w:jc w:val="right"/>
              <w:rPr>
                <w:b/>
                <w:bCs/>
                <w:sz w:val="16"/>
                <w:szCs w:val="16"/>
              </w:rPr>
            </w:pPr>
            <w:r w:rsidRPr="00273F14">
              <w:rPr>
                <w:b/>
                <w:bCs/>
                <w:sz w:val="16"/>
                <w:szCs w:val="16"/>
              </w:rPr>
              <w:t>Investigation</w:t>
            </w:r>
          </w:p>
        </w:tc>
        <w:tc>
          <w:tcPr>
            <w:tcW w:w="934" w:type="dxa"/>
            <w:tcBorders>
              <w:top w:val="single" w:sz="12" w:space="0" w:color="4F81BD"/>
              <w:left w:val="single" w:sz="12" w:space="0" w:color="4F81BD"/>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81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54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81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54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72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720" w:type="dxa"/>
            <w:tcBorders>
              <w:top w:val="single" w:sz="12"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12" w:space="0" w:color="4F81BD"/>
              <w:left w:val="nil"/>
              <w:bottom w:val="nil"/>
              <w:right w:val="single" w:sz="12" w:space="0" w:color="4F81BD"/>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r>
      <w:tr w:rsidR="007E0FD6" w:rsidRPr="00273F14" w:rsidTr="007E0FD6">
        <w:trPr>
          <w:trHeight w:val="300"/>
        </w:trPr>
        <w:tc>
          <w:tcPr>
            <w:tcW w:w="1226" w:type="dxa"/>
            <w:tcBorders>
              <w:top w:val="single" w:sz="4" w:space="0" w:color="4F81BD"/>
              <w:left w:val="single" w:sz="12" w:space="0" w:color="4F81BD"/>
              <w:bottom w:val="nil"/>
              <w:right w:val="single" w:sz="12" w:space="0" w:color="4F81BD"/>
            </w:tcBorders>
            <w:shd w:val="clear" w:color="auto" w:fill="auto"/>
            <w:vAlign w:val="bottom"/>
            <w:hideMark/>
          </w:tcPr>
          <w:p w:rsidR="007E0FD6" w:rsidRPr="00273F14" w:rsidRDefault="007E0FD6" w:rsidP="007E0FD6">
            <w:pPr>
              <w:jc w:val="right"/>
              <w:rPr>
                <w:b/>
                <w:bCs/>
                <w:sz w:val="16"/>
                <w:szCs w:val="16"/>
              </w:rPr>
            </w:pPr>
            <w:r w:rsidRPr="00273F14">
              <w:rPr>
                <w:b/>
                <w:bCs/>
                <w:sz w:val="16"/>
                <w:szCs w:val="16"/>
              </w:rPr>
              <w:t>Litigation</w:t>
            </w:r>
          </w:p>
        </w:tc>
        <w:tc>
          <w:tcPr>
            <w:tcW w:w="934" w:type="dxa"/>
            <w:tcBorders>
              <w:top w:val="single" w:sz="4" w:space="0" w:color="4F81BD"/>
              <w:left w:val="single" w:sz="12" w:space="0" w:color="4F81BD"/>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54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54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single" w:sz="12" w:space="0" w:color="4F81BD"/>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r>
      <w:tr w:rsidR="007E0FD6" w:rsidRPr="00273F14" w:rsidTr="007E0FD6">
        <w:trPr>
          <w:trHeight w:val="315"/>
        </w:trPr>
        <w:tc>
          <w:tcPr>
            <w:tcW w:w="1226" w:type="dxa"/>
            <w:tcBorders>
              <w:top w:val="single" w:sz="4" w:space="0" w:color="4F81BD"/>
              <w:left w:val="single" w:sz="12" w:space="0" w:color="4F81BD"/>
              <w:bottom w:val="nil"/>
              <w:right w:val="single" w:sz="12" w:space="0" w:color="4F81BD"/>
            </w:tcBorders>
            <w:shd w:val="clear" w:color="auto" w:fill="auto"/>
            <w:vAlign w:val="bottom"/>
            <w:hideMark/>
          </w:tcPr>
          <w:p w:rsidR="007E0FD6" w:rsidRPr="00273F14" w:rsidRDefault="007E0FD6" w:rsidP="007E0FD6">
            <w:pPr>
              <w:jc w:val="right"/>
              <w:rPr>
                <w:b/>
                <w:bCs/>
                <w:sz w:val="16"/>
                <w:szCs w:val="16"/>
              </w:rPr>
            </w:pPr>
            <w:r w:rsidRPr="00273F14">
              <w:rPr>
                <w:b/>
                <w:bCs/>
                <w:sz w:val="16"/>
                <w:szCs w:val="16"/>
              </w:rPr>
              <w:t>Custody of Assets</w:t>
            </w:r>
          </w:p>
        </w:tc>
        <w:tc>
          <w:tcPr>
            <w:tcW w:w="934" w:type="dxa"/>
            <w:tcBorders>
              <w:top w:val="single" w:sz="4" w:space="0" w:color="4F81BD"/>
              <w:left w:val="single" w:sz="12" w:space="0" w:color="4F81BD"/>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54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54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nil"/>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4" w:space="0" w:color="4F81BD"/>
              <w:left w:val="nil"/>
              <w:bottom w:val="nil"/>
              <w:right w:val="single" w:sz="12" w:space="0" w:color="4F81BD"/>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r>
      <w:tr w:rsidR="007E0FD6" w:rsidRPr="00273F14" w:rsidTr="007E0FD6">
        <w:trPr>
          <w:trHeight w:val="315"/>
        </w:trPr>
        <w:tc>
          <w:tcPr>
            <w:tcW w:w="1226" w:type="dxa"/>
            <w:tcBorders>
              <w:top w:val="single" w:sz="4" w:space="0" w:color="4F81BD"/>
              <w:left w:val="single" w:sz="12" w:space="0" w:color="4F81BD"/>
              <w:bottom w:val="single" w:sz="12" w:space="0" w:color="4F81BD"/>
              <w:right w:val="single" w:sz="12" w:space="0" w:color="4F81BD"/>
            </w:tcBorders>
            <w:shd w:val="clear" w:color="auto" w:fill="auto"/>
            <w:vAlign w:val="bottom"/>
            <w:hideMark/>
          </w:tcPr>
          <w:p w:rsidR="007E0FD6" w:rsidRPr="00273F14" w:rsidRDefault="007E0FD6" w:rsidP="007E0FD6">
            <w:pPr>
              <w:jc w:val="right"/>
              <w:rPr>
                <w:b/>
                <w:bCs/>
                <w:sz w:val="16"/>
                <w:szCs w:val="16"/>
              </w:rPr>
            </w:pPr>
            <w:r w:rsidRPr="00273F14">
              <w:rPr>
                <w:b/>
                <w:bCs/>
                <w:sz w:val="16"/>
                <w:szCs w:val="16"/>
              </w:rPr>
              <w:t>Management of Assets</w:t>
            </w:r>
          </w:p>
        </w:tc>
        <w:tc>
          <w:tcPr>
            <w:tcW w:w="934" w:type="dxa"/>
            <w:tcBorders>
              <w:top w:val="single" w:sz="4" w:space="0" w:color="4F81BD"/>
              <w:left w:val="single" w:sz="12" w:space="0" w:color="4F81BD"/>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72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X</w:t>
            </w:r>
          </w:p>
        </w:tc>
        <w:tc>
          <w:tcPr>
            <w:tcW w:w="63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54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81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54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720" w:type="dxa"/>
            <w:tcBorders>
              <w:top w:val="single" w:sz="4" w:space="0" w:color="4F81BD"/>
              <w:left w:val="nil"/>
              <w:bottom w:val="single" w:sz="12" w:space="0" w:color="4F81BD"/>
              <w:right w:val="nil"/>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c>
          <w:tcPr>
            <w:tcW w:w="630" w:type="dxa"/>
            <w:tcBorders>
              <w:top w:val="single" w:sz="4" w:space="0" w:color="4F81BD"/>
              <w:left w:val="nil"/>
              <w:bottom w:val="single" w:sz="12" w:space="0" w:color="4F81BD"/>
              <w:right w:val="single" w:sz="12" w:space="0" w:color="4F81BD"/>
            </w:tcBorders>
            <w:shd w:val="clear" w:color="auto" w:fill="auto"/>
            <w:vAlign w:val="bottom"/>
            <w:hideMark/>
          </w:tcPr>
          <w:p w:rsidR="007E0FD6" w:rsidRPr="00273F14" w:rsidRDefault="007E0FD6" w:rsidP="007E0FD6">
            <w:pPr>
              <w:jc w:val="center"/>
              <w:rPr>
                <w:sz w:val="16"/>
                <w:szCs w:val="16"/>
              </w:rPr>
            </w:pPr>
            <w:r w:rsidRPr="00273F14">
              <w:rPr>
                <w:sz w:val="16"/>
                <w:szCs w:val="18"/>
              </w:rPr>
              <w:t> </w:t>
            </w:r>
          </w:p>
        </w:tc>
      </w:tr>
    </w:tbl>
    <w:p w:rsidR="00536E70" w:rsidRPr="00273F14" w:rsidRDefault="00536E70" w:rsidP="00536E70">
      <w:pPr>
        <w:rPr>
          <w:color w:val="FF0000"/>
        </w:rPr>
      </w:pPr>
    </w:p>
    <w:p w:rsidR="00536E70" w:rsidRPr="00273F14" w:rsidRDefault="00536E70" w:rsidP="00536E70">
      <w:pPr>
        <w:rPr>
          <w:color w:val="FF0000"/>
        </w:rPr>
      </w:pPr>
    </w:p>
    <w:p w:rsidR="00536E70" w:rsidRPr="00273F14" w:rsidRDefault="00536E70" w:rsidP="00536E70">
      <w:pPr>
        <w:rPr>
          <w:color w:val="000000"/>
        </w:rPr>
      </w:pPr>
      <w:r w:rsidRPr="00273F14">
        <w:rPr>
          <w:color w:val="000000"/>
        </w:rPr>
        <w:t xml:space="preserve">As an outcome of the Homeland Security Act of 2002, the Bureau of Alcohol, Tobacco, Firearms and Explosives (ATF) joined the </w:t>
      </w:r>
      <w:r w:rsidR="00213A55" w:rsidRPr="00273F14">
        <w:rPr>
          <w:color w:val="000000"/>
        </w:rPr>
        <w:t>Program</w:t>
      </w:r>
      <w:r w:rsidRPr="00273F14">
        <w:rPr>
          <w:color w:val="000000"/>
        </w:rPr>
        <w:t xml:space="preserve"> on January 25, 2003.  In addition, the Act transferred the forfeiture functions of the Immigration and Naturalization Service to the Department of Homeland Security (DHS) on March 31, 2003.  On October 1, 2004, the Bureau of Diplomatic Security, Department of State (DS), joined the AF</w:t>
      </w:r>
      <w:r w:rsidR="00213A55" w:rsidRPr="00273F14">
        <w:rPr>
          <w:color w:val="000000"/>
        </w:rPr>
        <w:t>P</w:t>
      </w:r>
      <w:r w:rsidRPr="00273F14">
        <w:rPr>
          <w:color w:val="000000"/>
        </w:rPr>
        <w:t>.  The Fund subsequently includes seizures and forfeitures resulting from investigations of passport and visa fraud.  In 2007, the Defense Criminal Investigative Service (DCIS) became a participant.  DCIS is the criminal investigative arm of the Inspector General of the Department of Defense and devotes investigative resources to terrorism, product substitution, computer crimes, illegal technology transfers, and public corruption.</w:t>
      </w:r>
      <w:r w:rsidR="003E2638">
        <w:rPr>
          <w:color w:val="000000"/>
        </w:rPr>
        <w:t xml:space="preserve">  In addition, INTERPOL </w:t>
      </w:r>
      <w:r w:rsidR="00ED5233">
        <w:rPr>
          <w:color w:val="000000"/>
        </w:rPr>
        <w:t xml:space="preserve">Washington </w:t>
      </w:r>
      <w:r w:rsidR="003E2638">
        <w:rPr>
          <w:color w:val="000000"/>
        </w:rPr>
        <w:t xml:space="preserve">was admitted as a member of the </w:t>
      </w:r>
      <w:r w:rsidR="00B11A45">
        <w:rPr>
          <w:color w:val="000000"/>
        </w:rPr>
        <w:t>F</w:t>
      </w:r>
      <w:r w:rsidR="003E2638">
        <w:rPr>
          <w:color w:val="000000"/>
        </w:rPr>
        <w:t>und in 2012.</w:t>
      </w:r>
    </w:p>
    <w:p w:rsidR="00536E70" w:rsidRPr="00273F14" w:rsidRDefault="00536E70" w:rsidP="00536E70">
      <w:pPr>
        <w:rPr>
          <w:color w:val="000000"/>
        </w:rPr>
      </w:pPr>
    </w:p>
    <w:p w:rsidR="002E55CC" w:rsidRPr="00273F14" w:rsidRDefault="002E55CC" w:rsidP="00536E70">
      <w:pPr>
        <w:pStyle w:val="BodyText"/>
      </w:pPr>
    </w:p>
    <w:p w:rsidR="00536E70" w:rsidRPr="00273F14" w:rsidRDefault="00536E70" w:rsidP="00536E70">
      <w:pPr>
        <w:pStyle w:val="xl27"/>
        <w:keepNext/>
        <w:keepLines/>
        <w:numPr>
          <w:ilvl w:val="0"/>
          <w:numId w:val="18"/>
        </w:numPr>
        <w:tabs>
          <w:tab w:val="clear" w:pos="720"/>
          <w:tab w:val="num" w:pos="540"/>
        </w:tabs>
        <w:spacing w:before="0" w:after="0"/>
        <w:ind w:hanging="720"/>
      </w:pPr>
      <w:r w:rsidRPr="00273F14">
        <w:t xml:space="preserve"> Trends, Issues, and Outcomes</w:t>
      </w:r>
    </w:p>
    <w:p w:rsidR="00536E70" w:rsidRPr="00273F14" w:rsidRDefault="00536E70" w:rsidP="00536E70">
      <w:pPr>
        <w:pStyle w:val="xl27"/>
        <w:keepNext/>
        <w:keepLines/>
        <w:spacing w:before="0" w:after="0"/>
      </w:pPr>
    </w:p>
    <w:p w:rsidR="00536E70" w:rsidRPr="00273F14" w:rsidRDefault="00536E70" w:rsidP="00536E70">
      <w:pPr>
        <w:rPr>
          <w:color w:val="000000"/>
        </w:rPr>
      </w:pPr>
      <w:r w:rsidRPr="00273F14">
        <w:rPr>
          <w:color w:val="000000"/>
        </w:rPr>
        <w:t xml:space="preserve">Although the </w:t>
      </w:r>
      <w:r w:rsidR="00213A55" w:rsidRPr="00273F14">
        <w:rPr>
          <w:color w:val="000000"/>
        </w:rPr>
        <w:t>Program</w:t>
      </w:r>
      <w:r w:rsidRPr="00273F14">
        <w:rPr>
          <w:color w:val="000000"/>
        </w:rPr>
        <w:t>’s mission and objectives will not change in FY 20</w:t>
      </w:r>
      <w:r w:rsidR="0028329D" w:rsidRPr="00273F14">
        <w:rPr>
          <w:color w:val="000000"/>
        </w:rPr>
        <w:t>1</w:t>
      </w:r>
      <w:r w:rsidR="008C2228">
        <w:rPr>
          <w:color w:val="000000"/>
        </w:rPr>
        <w:t>4</w:t>
      </w:r>
      <w:r w:rsidRPr="00273F14">
        <w:rPr>
          <w:color w:val="000000"/>
        </w:rPr>
        <w:t xml:space="preserve">, the challenges it faces will.  The </w:t>
      </w:r>
      <w:r w:rsidR="00213A55" w:rsidRPr="00273F14">
        <w:rPr>
          <w:color w:val="000000"/>
        </w:rPr>
        <w:t>Program</w:t>
      </w:r>
      <w:r w:rsidRPr="00273F14">
        <w:rPr>
          <w:color w:val="000000"/>
        </w:rPr>
        <w:t>’s budget is integrated with the Department’s Strategic Goals and Objectives</w:t>
      </w:r>
      <w:r w:rsidR="0045537A" w:rsidRPr="00273F14">
        <w:rPr>
          <w:color w:val="000000"/>
        </w:rPr>
        <w:t>.</w:t>
      </w:r>
      <w:r w:rsidRPr="00273F14">
        <w:rPr>
          <w:color w:val="000000"/>
        </w:rPr>
        <w:t xml:space="preserve">  </w:t>
      </w:r>
    </w:p>
    <w:p w:rsidR="00B65733" w:rsidRPr="00273F14" w:rsidRDefault="00B65733" w:rsidP="00536E70">
      <w:pPr>
        <w:rPr>
          <w:color w:val="000000"/>
        </w:rPr>
      </w:pPr>
    </w:p>
    <w:p w:rsidR="00B354AF" w:rsidRPr="00273F14" w:rsidRDefault="00B65733" w:rsidP="00536E70">
      <w:r w:rsidRPr="00273F14">
        <w:t xml:space="preserve">Over the past </w:t>
      </w:r>
      <w:r w:rsidR="00FF5AD6" w:rsidRPr="00273F14">
        <w:t>six</w:t>
      </w:r>
      <w:r w:rsidRPr="00273F14">
        <w:t xml:space="preserve"> years, there has been a</w:t>
      </w:r>
      <w:r w:rsidR="00563265" w:rsidRPr="00273F14">
        <w:t xml:space="preserve"> significant</w:t>
      </w:r>
      <w:r w:rsidRPr="00273F14">
        <w:t xml:space="preserve"> growth in the </w:t>
      </w:r>
      <w:r w:rsidR="00936654" w:rsidRPr="00273F14">
        <w:t>value of deposits into the AF</w:t>
      </w:r>
      <w:r w:rsidR="00213A55" w:rsidRPr="00273F14">
        <w:t>P</w:t>
      </w:r>
      <w:r w:rsidRPr="00273F14">
        <w:t xml:space="preserve"> fueled by </w:t>
      </w:r>
      <w:r w:rsidR="00936654" w:rsidRPr="00273F14">
        <w:t>several large fraud and economic crime forfeiture cases.</w:t>
      </w:r>
      <w:r w:rsidRPr="00273F14">
        <w:t xml:space="preserve">  </w:t>
      </w:r>
      <w:r w:rsidR="00B354AF" w:rsidRPr="00273F14">
        <w:t xml:space="preserve">Given the </w:t>
      </w:r>
      <w:r w:rsidR="00936654" w:rsidRPr="00273F14">
        <w:t xml:space="preserve">focus on </w:t>
      </w:r>
      <w:r w:rsidR="00B354AF" w:rsidRPr="00273F14">
        <w:t xml:space="preserve">forfeitures in corporate fraud </w:t>
      </w:r>
      <w:r w:rsidR="00936654" w:rsidRPr="00273F14">
        <w:t xml:space="preserve">and other financial crime cases </w:t>
      </w:r>
      <w:r w:rsidR="00563EAA" w:rsidRPr="00273F14">
        <w:t xml:space="preserve">as well as </w:t>
      </w:r>
      <w:r w:rsidR="008544DB" w:rsidRPr="00273F14">
        <w:t xml:space="preserve">on </w:t>
      </w:r>
      <w:r w:rsidR="00B354AF" w:rsidRPr="00273F14">
        <w:t xml:space="preserve">increasing the amount of money returned to crime victims, </w:t>
      </w:r>
      <w:r w:rsidR="00563EAA" w:rsidRPr="00273F14">
        <w:t xml:space="preserve">the </w:t>
      </w:r>
      <w:r w:rsidR="00213A55" w:rsidRPr="00273F14">
        <w:t>Program</w:t>
      </w:r>
      <w:r w:rsidR="00563EAA" w:rsidRPr="00273F14">
        <w:t xml:space="preserve"> expects</w:t>
      </w:r>
      <w:r w:rsidR="00B354AF" w:rsidRPr="00273F14">
        <w:t xml:space="preserve"> </w:t>
      </w:r>
      <w:r w:rsidR="00936654" w:rsidRPr="00273F14">
        <w:t>deposits to continue to increase</w:t>
      </w:r>
      <w:r w:rsidR="00563EAA" w:rsidRPr="00273F14">
        <w:t xml:space="preserve">.  It is anticipated that </w:t>
      </w:r>
      <w:r w:rsidR="009F7D7E" w:rsidRPr="00273F14">
        <w:t xml:space="preserve">a significant amount </w:t>
      </w:r>
      <w:r w:rsidR="00563EAA" w:rsidRPr="00273F14">
        <w:t xml:space="preserve">of these additional deposits </w:t>
      </w:r>
      <w:r w:rsidR="00936654" w:rsidRPr="00273F14">
        <w:t>will</w:t>
      </w:r>
      <w:r w:rsidR="009F7D7E" w:rsidRPr="00273F14">
        <w:t xml:space="preserve"> be</w:t>
      </w:r>
      <w:r w:rsidR="00936654" w:rsidRPr="00273F14">
        <w:t xml:space="preserve"> </w:t>
      </w:r>
      <w:r w:rsidR="00563EAA" w:rsidRPr="00273F14">
        <w:t>returned to</w:t>
      </w:r>
      <w:r w:rsidR="00B354AF" w:rsidRPr="00273F14">
        <w:t xml:space="preserve"> the victims of the underlying offenses. </w:t>
      </w:r>
    </w:p>
    <w:p w:rsidR="00B354AF" w:rsidRPr="00273F14" w:rsidRDefault="00B354AF" w:rsidP="00B354AF">
      <w:pPr>
        <w:rPr>
          <w:lang w:val="en-CA"/>
        </w:rPr>
      </w:pPr>
    </w:p>
    <w:p w:rsidR="00536E70" w:rsidRPr="00273F14" w:rsidRDefault="00536E70" w:rsidP="00B354AF">
      <w:r w:rsidRPr="00273F14">
        <w:t xml:space="preserve">Following is a brief summary of the Department’s Strategic Goals and Objectives, in which the </w:t>
      </w:r>
      <w:r w:rsidR="00213A55" w:rsidRPr="00273F14">
        <w:t>Program</w:t>
      </w:r>
      <w:r w:rsidRPr="00273F14">
        <w:t xml:space="preserve"> plays a role.</w:t>
      </w:r>
    </w:p>
    <w:p w:rsidR="00536E70" w:rsidRPr="00273F14" w:rsidRDefault="00536E70" w:rsidP="00536E70">
      <w:pPr>
        <w:rPr>
          <w:bCs/>
          <w:color w:val="000000"/>
        </w:rPr>
      </w:pPr>
    </w:p>
    <w:p w:rsidR="00536E70" w:rsidRPr="00273F14" w:rsidRDefault="00536E70" w:rsidP="00536E70">
      <w:pPr>
        <w:pStyle w:val="BodyText3"/>
        <w:rPr>
          <w:szCs w:val="24"/>
        </w:rPr>
      </w:pPr>
      <w:r w:rsidRPr="00273F14">
        <w:rPr>
          <w:szCs w:val="24"/>
        </w:rPr>
        <w:t xml:space="preserve">DOJ Strategic Goal 2: Prevent Crime, </w:t>
      </w:r>
      <w:r w:rsidR="008F173E" w:rsidRPr="00273F14">
        <w:rPr>
          <w:szCs w:val="24"/>
        </w:rPr>
        <w:t xml:space="preserve">Protect the Rights of the American People, and </w:t>
      </w:r>
      <w:r w:rsidRPr="00273F14">
        <w:rPr>
          <w:szCs w:val="24"/>
        </w:rPr>
        <w:t>Enforce Federal Law</w:t>
      </w:r>
      <w:r w:rsidR="00191748" w:rsidRPr="00273F14">
        <w:rPr>
          <w:szCs w:val="24"/>
        </w:rPr>
        <w:t>:</w:t>
      </w:r>
      <w:r w:rsidRPr="00273F14">
        <w:rPr>
          <w:szCs w:val="24"/>
        </w:rPr>
        <w:t xml:space="preserve"> </w:t>
      </w:r>
    </w:p>
    <w:p w:rsidR="00536E70" w:rsidRPr="00273F14" w:rsidRDefault="00536E70" w:rsidP="00536E70">
      <w:pPr>
        <w:rPr>
          <w:color w:val="000000"/>
        </w:rPr>
      </w:pPr>
    </w:p>
    <w:p w:rsidR="00536E70" w:rsidRPr="00273F14" w:rsidRDefault="00FF5AD6" w:rsidP="00536E70">
      <w:pPr>
        <w:pStyle w:val="xl27"/>
        <w:numPr>
          <w:ilvl w:val="0"/>
          <w:numId w:val="19"/>
        </w:numPr>
        <w:spacing w:before="0" w:after="0"/>
        <w:rPr>
          <w:rFonts w:ascii="Times New Roman" w:hAnsi="Times New Roman"/>
          <w:b w:val="0"/>
          <w:bCs/>
        </w:rPr>
      </w:pPr>
      <w:r w:rsidRPr="00273F14">
        <w:rPr>
          <w:rFonts w:ascii="Times New Roman" w:hAnsi="Times New Roman"/>
          <w:b w:val="0"/>
          <w:bCs/>
          <w:color w:val="000000"/>
        </w:rPr>
        <w:t>Combat</w:t>
      </w:r>
      <w:r w:rsidR="00536E70" w:rsidRPr="00273F14">
        <w:rPr>
          <w:rFonts w:ascii="Times New Roman" w:hAnsi="Times New Roman"/>
          <w:b w:val="0"/>
          <w:bCs/>
          <w:color w:val="000000"/>
        </w:rPr>
        <w:t xml:space="preserve"> the threat, incidence, and prevalence of violent crime</w:t>
      </w:r>
      <w:r w:rsidR="00536E70" w:rsidRPr="00273F14">
        <w:rPr>
          <w:rFonts w:ascii="Times New Roman" w:hAnsi="Times New Roman"/>
          <w:b w:val="0"/>
          <w:bCs/>
        </w:rPr>
        <w:t xml:space="preserve"> (2.</w:t>
      </w:r>
      <w:r w:rsidRPr="00273F14">
        <w:rPr>
          <w:rFonts w:ascii="Times New Roman" w:hAnsi="Times New Roman"/>
          <w:b w:val="0"/>
          <w:bCs/>
        </w:rPr>
        <w:t>1</w:t>
      </w:r>
      <w:r w:rsidR="00536E70" w:rsidRPr="00273F14">
        <w:rPr>
          <w:rFonts w:ascii="Times New Roman" w:hAnsi="Times New Roman"/>
          <w:b w:val="0"/>
          <w:bCs/>
        </w:rPr>
        <w:t>)</w:t>
      </w:r>
      <w:r w:rsidR="00536E70" w:rsidRPr="003E2638">
        <w:rPr>
          <w:rFonts w:ascii="Times New Roman" w:hAnsi="Times New Roman"/>
          <w:b w:val="0"/>
          <w:bCs/>
        </w:rPr>
        <w:t xml:space="preserve"> </w:t>
      </w:r>
    </w:p>
    <w:p w:rsidR="00536E70" w:rsidRPr="00273F14" w:rsidRDefault="00FF5AD6" w:rsidP="00536E70">
      <w:pPr>
        <w:pStyle w:val="xl27"/>
        <w:numPr>
          <w:ilvl w:val="0"/>
          <w:numId w:val="19"/>
        </w:numPr>
        <w:spacing w:before="0" w:after="0"/>
        <w:rPr>
          <w:rFonts w:ascii="Times New Roman" w:hAnsi="Times New Roman"/>
          <w:b w:val="0"/>
          <w:bCs/>
          <w:i/>
          <w:iCs/>
        </w:rPr>
      </w:pPr>
      <w:r w:rsidRPr="00273F14">
        <w:rPr>
          <w:rFonts w:ascii="Times New Roman" w:hAnsi="Times New Roman"/>
          <w:b w:val="0"/>
          <w:bCs/>
          <w:color w:val="000000"/>
        </w:rPr>
        <w:t>Combat</w:t>
      </w:r>
      <w:r w:rsidR="00536E70" w:rsidRPr="00273F14">
        <w:rPr>
          <w:rFonts w:ascii="Times New Roman" w:hAnsi="Times New Roman"/>
          <w:b w:val="0"/>
          <w:bCs/>
          <w:color w:val="000000"/>
        </w:rPr>
        <w:t xml:space="preserve"> the threat, trafficking, </w:t>
      </w:r>
      <w:r w:rsidRPr="00273F14">
        <w:rPr>
          <w:rFonts w:ascii="Times New Roman" w:hAnsi="Times New Roman"/>
          <w:b w:val="0"/>
          <w:bCs/>
          <w:color w:val="000000"/>
        </w:rPr>
        <w:t xml:space="preserve">and </w:t>
      </w:r>
      <w:r w:rsidR="00536E70" w:rsidRPr="00273F14">
        <w:rPr>
          <w:rFonts w:ascii="Times New Roman" w:hAnsi="Times New Roman"/>
          <w:b w:val="0"/>
          <w:bCs/>
          <w:color w:val="000000"/>
        </w:rPr>
        <w:t>use</w:t>
      </w:r>
      <w:r w:rsidRPr="00273F14">
        <w:rPr>
          <w:rFonts w:ascii="Times New Roman" w:hAnsi="Times New Roman"/>
          <w:b w:val="0"/>
          <w:bCs/>
          <w:color w:val="000000"/>
        </w:rPr>
        <w:t xml:space="preserve"> of illegal drugs and the diversion</w:t>
      </w:r>
      <w:r w:rsidR="00536E70" w:rsidRPr="00273F14">
        <w:rPr>
          <w:rFonts w:ascii="Times New Roman" w:hAnsi="Times New Roman"/>
          <w:b w:val="0"/>
          <w:bCs/>
          <w:color w:val="000000"/>
        </w:rPr>
        <w:t xml:space="preserve"> of l</w:t>
      </w:r>
      <w:r w:rsidRPr="00273F14">
        <w:rPr>
          <w:rFonts w:ascii="Times New Roman" w:hAnsi="Times New Roman"/>
          <w:b w:val="0"/>
          <w:bCs/>
          <w:color w:val="000000"/>
        </w:rPr>
        <w:t>icit</w:t>
      </w:r>
      <w:r w:rsidR="00536E70" w:rsidRPr="00273F14">
        <w:rPr>
          <w:rFonts w:ascii="Times New Roman" w:hAnsi="Times New Roman"/>
          <w:b w:val="0"/>
          <w:bCs/>
          <w:color w:val="000000"/>
        </w:rPr>
        <w:t xml:space="preserve"> drugs (2.</w:t>
      </w:r>
      <w:r w:rsidRPr="00273F14">
        <w:rPr>
          <w:rFonts w:ascii="Times New Roman" w:hAnsi="Times New Roman"/>
          <w:b w:val="0"/>
          <w:bCs/>
          <w:color w:val="000000"/>
        </w:rPr>
        <w:t>3</w:t>
      </w:r>
      <w:r w:rsidR="00536E70" w:rsidRPr="00273F14">
        <w:rPr>
          <w:rFonts w:ascii="Times New Roman" w:hAnsi="Times New Roman"/>
          <w:b w:val="0"/>
          <w:bCs/>
          <w:color w:val="000000"/>
        </w:rPr>
        <w:t>)</w:t>
      </w:r>
    </w:p>
    <w:p w:rsidR="00536E70" w:rsidRPr="00273F14" w:rsidRDefault="00FF5AD6" w:rsidP="00536E70">
      <w:pPr>
        <w:pStyle w:val="xl27"/>
        <w:numPr>
          <w:ilvl w:val="0"/>
          <w:numId w:val="19"/>
        </w:numPr>
        <w:spacing w:before="0" w:after="0"/>
        <w:rPr>
          <w:rFonts w:ascii="Times New Roman" w:hAnsi="Times New Roman"/>
          <w:b w:val="0"/>
          <w:bCs/>
          <w:i/>
          <w:iCs/>
        </w:rPr>
      </w:pPr>
      <w:r w:rsidRPr="00273F14">
        <w:rPr>
          <w:rFonts w:ascii="Times New Roman" w:hAnsi="Times New Roman"/>
          <w:b w:val="0"/>
          <w:bCs/>
          <w:color w:val="000000"/>
        </w:rPr>
        <w:t xml:space="preserve">Combat </w:t>
      </w:r>
      <w:r w:rsidR="00536E70" w:rsidRPr="00273F14">
        <w:rPr>
          <w:rFonts w:ascii="Times New Roman" w:hAnsi="Times New Roman"/>
          <w:b w:val="0"/>
          <w:bCs/>
          <w:color w:val="000000"/>
        </w:rPr>
        <w:t>corruption, economic crime</w:t>
      </w:r>
      <w:r w:rsidRPr="00273F14">
        <w:rPr>
          <w:rFonts w:ascii="Times New Roman" w:hAnsi="Times New Roman"/>
          <w:b w:val="0"/>
          <w:bCs/>
          <w:color w:val="000000"/>
        </w:rPr>
        <w:t>s</w:t>
      </w:r>
      <w:r w:rsidR="00536E70" w:rsidRPr="00273F14">
        <w:rPr>
          <w:rFonts w:ascii="Times New Roman" w:hAnsi="Times New Roman"/>
          <w:b w:val="0"/>
          <w:bCs/>
          <w:color w:val="000000"/>
        </w:rPr>
        <w:t xml:space="preserve">, and </w:t>
      </w:r>
      <w:r w:rsidRPr="00273F14">
        <w:rPr>
          <w:rFonts w:ascii="Times New Roman" w:hAnsi="Times New Roman"/>
          <w:b w:val="0"/>
          <w:bCs/>
          <w:color w:val="000000"/>
        </w:rPr>
        <w:t>international organized</w:t>
      </w:r>
      <w:r w:rsidR="000D517B" w:rsidRPr="00273F14">
        <w:rPr>
          <w:rFonts w:ascii="Times New Roman" w:hAnsi="Times New Roman"/>
          <w:b w:val="0"/>
          <w:bCs/>
          <w:color w:val="000000"/>
        </w:rPr>
        <w:t xml:space="preserve"> </w:t>
      </w:r>
      <w:r w:rsidR="00536E70" w:rsidRPr="00273F14">
        <w:rPr>
          <w:rFonts w:ascii="Times New Roman" w:hAnsi="Times New Roman"/>
          <w:b w:val="0"/>
          <w:bCs/>
          <w:color w:val="000000"/>
        </w:rPr>
        <w:t>crime (2.</w:t>
      </w:r>
      <w:r w:rsidRPr="00273F14">
        <w:rPr>
          <w:rFonts w:ascii="Times New Roman" w:hAnsi="Times New Roman"/>
          <w:b w:val="0"/>
          <w:bCs/>
          <w:color w:val="000000"/>
        </w:rPr>
        <w:t>4</w:t>
      </w:r>
      <w:r w:rsidR="00536E70" w:rsidRPr="00273F14">
        <w:rPr>
          <w:rFonts w:ascii="Times New Roman" w:hAnsi="Times New Roman"/>
          <w:b w:val="0"/>
          <w:bCs/>
          <w:color w:val="000000"/>
        </w:rPr>
        <w:t xml:space="preserve">) </w:t>
      </w:r>
    </w:p>
    <w:p w:rsidR="00536E70" w:rsidRPr="00273F14" w:rsidRDefault="00536E70" w:rsidP="00536E70">
      <w:pPr>
        <w:pStyle w:val="xl27"/>
        <w:spacing w:before="0" w:after="0"/>
        <w:ind w:left="360"/>
        <w:rPr>
          <w:rFonts w:ascii="Times New Roman" w:hAnsi="Times New Roman"/>
          <w:b w:val="0"/>
          <w:bCs/>
          <w:iCs/>
        </w:rPr>
      </w:pPr>
    </w:p>
    <w:p w:rsidR="00536E70" w:rsidRPr="00273F14" w:rsidRDefault="00BB6291" w:rsidP="00536E70">
      <w:pPr>
        <w:pStyle w:val="xl27"/>
        <w:keepNext/>
        <w:spacing w:before="0" w:after="0"/>
      </w:pPr>
      <w:r>
        <w:lastRenderedPageBreak/>
        <w:t>E</w:t>
      </w:r>
      <w:r w:rsidR="00536E70" w:rsidRPr="00273F14">
        <w:t>.    Full Program Costs</w:t>
      </w:r>
    </w:p>
    <w:p w:rsidR="00536E70" w:rsidRPr="00273F14" w:rsidRDefault="00536E70" w:rsidP="00536E70">
      <w:pPr>
        <w:keepNext/>
        <w:rPr>
          <w:lang w:val="en-CA"/>
        </w:rPr>
      </w:pPr>
    </w:p>
    <w:p w:rsidR="00536E70" w:rsidRPr="00273F14" w:rsidRDefault="00536E70" w:rsidP="00536E70">
      <w:pPr>
        <w:keepNext/>
        <w:keepLines/>
        <w:numPr>
          <w:ilvl w:val="12"/>
          <w:numId w:val="0"/>
        </w:numPr>
        <w:rPr>
          <w:color w:val="000000"/>
        </w:rPr>
      </w:pPr>
      <w:r w:rsidRPr="00273F14">
        <w:rPr>
          <w:color w:val="000000"/>
        </w:rPr>
        <w:t xml:space="preserve">The </w:t>
      </w:r>
      <w:r w:rsidR="00213A55" w:rsidRPr="00273F14">
        <w:rPr>
          <w:color w:val="000000"/>
        </w:rPr>
        <w:t>Program</w:t>
      </w:r>
      <w:r w:rsidR="003A67AF" w:rsidRPr="00273F14">
        <w:rPr>
          <w:color w:val="000000"/>
        </w:rPr>
        <w:t>’s expenses are funded by forfeitures and receipts.</w:t>
      </w:r>
      <w:r w:rsidRPr="00273F14">
        <w:rPr>
          <w:color w:val="000000"/>
        </w:rPr>
        <w:t xml:space="preserve">  Receipts are available to pay program operation expenses, </w:t>
      </w:r>
      <w:r w:rsidR="009D3474" w:rsidRPr="00273F14">
        <w:rPr>
          <w:color w:val="000000"/>
        </w:rPr>
        <w:t xml:space="preserve">including asset management and disposal, </w:t>
      </w:r>
      <w:r w:rsidRPr="00273F14">
        <w:rPr>
          <w:color w:val="000000"/>
        </w:rPr>
        <w:t xml:space="preserve"> the equity of innocent third parties and lien holders; program investigative expenses, such as the efforts of state and local law enforcement agencies that helped produce the forfeitures; and other authorized expenses of the </w:t>
      </w:r>
      <w:r w:rsidR="00D547E6" w:rsidRPr="00273F14">
        <w:rPr>
          <w:color w:val="000000"/>
        </w:rPr>
        <w:t>Program</w:t>
      </w:r>
      <w:r w:rsidRPr="00273F14">
        <w:rPr>
          <w:color w:val="000000"/>
        </w:rPr>
        <w:t xml:space="preserve">.  </w:t>
      </w:r>
    </w:p>
    <w:p w:rsidR="00536E70" w:rsidRPr="00273F14" w:rsidRDefault="00536E70" w:rsidP="00536E70">
      <w:pPr>
        <w:numPr>
          <w:ilvl w:val="12"/>
          <w:numId w:val="0"/>
        </w:numPr>
        <w:rPr>
          <w:color w:val="000000"/>
        </w:rPr>
      </w:pPr>
    </w:p>
    <w:p w:rsidR="003E2638" w:rsidRDefault="00536E70" w:rsidP="00536E70">
      <w:pPr>
        <w:numPr>
          <w:ilvl w:val="12"/>
          <w:numId w:val="0"/>
        </w:numPr>
        <w:rPr>
          <w:color w:val="000000"/>
        </w:rPr>
      </w:pPr>
      <w:r w:rsidRPr="00273F14">
        <w:rPr>
          <w:color w:val="000000"/>
        </w:rPr>
        <w:t xml:space="preserve">For </w:t>
      </w:r>
      <w:r w:rsidR="00191748" w:rsidRPr="00273F14">
        <w:rPr>
          <w:color w:val="000000"/>
        </w:rPr>
        <w:t xml:space="preserve">FY </w:t>
      </w:r>
      <w:r w:rsidRPr="00273F14">
        <w:rPr>
          <w:color w:val="000000"/>
        </w:rPr>
        <w:t>20</w:t>
      </w:r>
      <w:r w:rsidR="0028329D" w:rsidRPr="00273F14">
        <w:rPr>
          <w:color w:val="000000"/>
        </w:rPr>
        <w:t>1</w:t>
      </w:r>
      <w:r w:rsidR="008C2228">
        <w:rPr>
          <w:color w:val="000000"/>
        </w:rPr>
        <w:t>4</w:t>
      </w:r>
      <w:r w:rsidRPr="00273F14">
        <w:rPr>
          <w:color w:val="000000"/>
        </w:rPr>
        <w:t>, the Department is estimating $</w:t>
      </w:r>
      <w:r w:rsidR="0026629F" w:rsidRPr="00273F14">
        <w:rPr>
          <w:color w:val="000000"/>
        </w:rPr>
        <w:t>1</w:t>
      </w:r>
      <w:r w:rsidR="008544DB" w:rsidRPr="00273F14">
        <w:rPr>
          <w:color w:val="000000"/>
        </w:rPr>
        <w:t>.</w:t>
      </w:r>
      <w:r w:rsidR="008C2228">
        <w:rPr>
          <w:color w:val="000000"/>
        </w:rPr>
        <w:t>58</w:t>
      </w:r>
      <w:r w:rsidR="008C2228" w:rsidRPr="00273F14">
        <w:rPr>
          <w:color w:val="000000"/>
        </w:rPr>
        <w:t xml:space="preserve"> </w:t>
      </w:r>
      <w:r w:rsidR="005B22C3" w:rsidRPr="00273F14">
        <w:rPr>
          <w:color w:val="000000"/>
        </w:rPr>
        <w:t>b</w:t>
      </w:r>
      <w:r w:rsidR="008544DB" w:rsidRPr="00273F14">
        <w:rPr>
          <w:color w:val="000000"/>
        </w:rPr>
        <w:t>illion</w:t>
      </w:r>
      <w:r w:rsidRPr="00273F14">
        <w:rPr>
          <w:color w:val="000000"/>
        </w:rPr>
        <w:t xml:space="preserve"> for mandatory and investigative expenses.  Included in this amount, providing net receipts support this expense </w:t>
      </w:r>
      <w:r w:rsidR="00C61433" w:rsidRPr="00273F14">
        <w:rPr>
          <w:color w:val="000000"/>
        </w:rPr>
        <w:t>level</w:t>
      </w:r>
      <w:r w:rsidRPr="00273F14">
        <w:rPr>
          <w:color w:val="000000"/>
        </w:rPr>
        <w:t xml:space="preserve"> is $</w:t>
      </w:r>
      <w:r w:rsidR="00B3157E" w:rsidRPr="00273F14">
        <w:rPr>
          <w:color w:val="000000"/>
        </w:rPr>
        <w:t>1</w:t>
      </w:r>
      <w:r w:rsidR="008C2228">
        <w:rPr>
          <w:color w:val="000000"/>
        </w:rPr>
        <w:t>62</w:t>
      </w:r>
      <w:r w:rsidR="0098208E" w:rsidRPr="00273F14">
        <w:rPr>
          <w:color w:val="000000"/>
        </w:rPr>
        <w:t>.</w:t>
      </w:r>
      <w:r w:rsidR="008C2228">
        <w:rPr>
          <w:color w:val="000000"/>
        </w:rPr>
        <w:t>4</w:t>
      </w:r>
      <w:r w:rsidRPr="00273F14">
        <w:rPr>
          <w:color w:val="000000"/>
        </w:rPr>
        <w:t xml:space="preserve"> million to pay overtime expenses and other costs of state and local law enforcement officers engaged in joint operations with federal law enforcement agencies participating in the </w:t>
      </w:r>
      <w:r w:rsidR="00E03F90" w:rsidRPr="00273F14">
        <w:rPr>
          <w:color w:val="000000"/>
        </w:rPr>
        <w:t>Program</w:t>
      </w:r>
      <w:r w:rsidRPr="00273F14">
        <w:rPr>
          <w:color w:val="000000"/>
        </w:rPr>
        <w:t xml:space="preserve">.  The Department's authority to incur program operations expenses, including recognition of the equity interests of others and the efforts of law enforcement agencies, is limited only by the level of receipts deposited into the Fund.  </w:t>
      </w:r>
      <w:r w:rsidR="009D3474" w:rsidRPr="00273F14">
        <w:rPr>
          <w:color w:val="000000"/>
        </w:rPr>
        <w:t xml:space="preserve">The Program’s first priority is to fund operational expenses.  </w:t>
      </w:r>
      <w:r w:rsidRPr="00273F14">
        <w:rPr>
          <w:color w:val="000000"/>
        </w:rPr>
        <w:t xml:space="preserve">To the extent that receipts exceed the amounts necessary for mandatory program expenses, </w:t>
      </w:r>
      <w:r w:rsidR="009D3474" w:rsidRPr="00273F14">
        <w:rPr>
          <w:color w:val="000000"/>
        </w:rPr>
        <w:t xml:space="preserve">funds are used for equitable sharing and third </w:t>
      </w:r>
      <w:r w:rsidR="009F6CF7" w:rsidRPr="00273F14">
        <w:rPr>
          <w:color w:val="000000"/>
        </w:rPr>
        <w:t xml:space="preserve">party expenses, including payment to victims.  Funds are then used for forfeiture-related investigative expenses.  Lastly, funds may be used for non-forfeiture related investigative expenses and other authorized law enforcement purposes. </w:t>
      </w:r>
      <w:r w:rsidRPr="00273F14">
        <w:rPr>
          <w:color w:val="000000"/>
        </w:rPr>
        <w:t xml:space="preserve"> </w:t>
      </w:r>
    </w:p>
    <w:p w:rsidR="00ED5233" w:rsidRDefault="00ED5233" w:rsidP="00536E70">
      <w:pPr>
        <w:numPr>
          <w:ilvl w:val="12"/>
          <w:numId w:val="0"/>
        </w:numPr>
        <w:rPr>
          <w:color w:val="000000"/>
        </w:rPr>
      </w:pPr>
    </w:p>
    <w:p w:rsidR="00ED5233" w:rsidRPr="00273F14" w:rsidRDefault="00BB6291" w:rsidP="00ED5233">
      <w:pPr>
        <w:pStyle w:val="xl27"/>
        <w:keepNext/>
        <w:spacing w:before="0" w:after="0"/>
      </w:pPr>
      <w:r>
        <w:t>F</w:t>
      </w:r>
      <w:r w:rsidR="00ED5233" w:rsidRPr="00273F14">
        <w:t xml:space="preserve">.    </w:t>
      </w:r>
      <w:r w:rsidR="00ED5233">
        <w:t>Unobligated Balances</w:t>
      </w:r>
    </w:p>
    <w:p w:rsidR="00A82047" w:rsidRDefault="00A82047" w:rsidP="003E2638"/>
    <w:p w:rsidR="00565CB6" w:rsidRDefault="00565CB6" w:rsidP="00565CB6">
      <w:r>
        <w:t>Unobligated balances are carried over from one fiscal year to another and are used to cover a variety of pending liabilities to maintain the solvency of the AFF.</w:t>
      </w:r>
      <w:r>
        <w:rPr>
          <w:rStyle w:val="FootnoteReference"/>
        </w:rPr>
        <w:footnoteReference w:id="2"/>
      </w:r>
      <w:r>
        <w:t xml:space="preserve">  These reserves are set aside for operation of the program and to cover payments to state and local law enforcement agencies for their degree of participation in a forfeiture case (also known as equitable sharing).  In addition to the significant portion allocated to equitable sharing payments, unobligated monies are carried forward in order to maintain a successful  transition into each new fiscal year for specific continuity requirements related to operation of the program.  Those requirements are estimated as follows: </w:t>
      </w:r>
    </w:p>
    <w:p w:rsidR="00565CB6" w:rsidRDefault="00565CB6" w:rsidP="00565CB6"/>
    <w:p w:rsidR="00565CB6" w:rsidRDefault="00565CB6" w:rsidP="00565CB6">
      <w:pPr>
        <w:pStyle w:val="ListParagraph"/>
        <w:numPr>
          <w:ilvl w:val="0"/>
          <w:numId w:val="31"/>
        </w:numPr>
      </w:pPr>
      <w:r>
        <w:t>one quarter of the previous year’s funding for administrative and professional contracts</w:t>
      </w:r>
    </w:p>
    <w:p w:rsidR="00565CB6" w:rsidRDefault="00565CB6" w:rsidP="00565CB6">
      <w:pPr>
        <w:pStyle w:val="ListParagraph"/>
        <w:ind w:left="783"/>
      </w:pPr>
    </w:p>
    <w:p w:rsidR="00565CB6" w:rsidRDefault="00565CB6" w:rsidP="00565CB6">
      <w:pPr>
        <w:pStyle w:val="ListParagraph"/>
        <w:numPr>
          <w:ilvl w:val="0"/>
          <w:numId w:val="31"/>
        </w:numPr>
      </w:pPr>
      <w:r>
        <w:t xml:space="preserve">one quarter of the previous year’s funding to cover pending expenses with state and local law enforcement agencies that participated in joint law enforcement operations with a federal agency. </w:t>
      </w:r>
    </w:p>
    <w:p w:rsidR="00565CB6" w:rsidRDefault="00565CB6" w:rsidP="00565CB6">
      <w:pPr>
        <w:pStyle w:val="ListParagraph"/>
        <w:ind w:left="783"/>
      </w:pPr>
      <w:r>
        <w:t xml:space="preserve"> </w:t>
      </w:r>
    </w:p>
    <w:p w:rsidR="00565CB6" w:rsidRDefault="00565CB6" w:rsidP="00565CB6">
      <w:pPr>
        <w:pStyle w:val="ListParagraph"/>
        <w:numPr>
          <w:ilvl w:val="0"/>
          <w:numId w:val="31"/>
        </w:numPr>
      </w:pPr>
      <w:r>
        <w:t xml:space="preserve">half of the previous year’s funding for the information system CATS.  </w:t>
      </w:r>
    </w:p>
    <w:p w:rsidR="00565CB6" w:rsidRDefault="00565CB6" w:rsidP="00565CB6">
      <w:r>
        <w:t xml:space="preserve"> </w:t>
      </w:r>
    </w:p>
    <w:p w:rsidR="00565CB6" w:rsidRDefault="00565CB6" w:rsidP="00565CB6">
      <w:pPr>
        <w:pStyle w:val="ListParagraph"/>
        <w:numPr>
          <w:ilvl w:val="0"/>
          <w:numId w:val="31"/>
        </w:numPr>
      </w:pPr>
      <w:r>
        <w:t xml:space="preserve">half of the previous year’s expenses for government salaries that have been approved by the Attorney General.  </w:t>
      </w:r>
    </w:p>
    <w:p w:rsidR="00525A10" w:rsidRDefault="00525A10" w:rsidP="00536E70">
      <w:pPr>
        <w:pStyle w:val="BodyText3"/>
        <w:numPr>
          <w:ilvl w:val="12"/>
          <w:numId w:val="0"/>
        </w:numPr>
        <w:rPr>
          <w:szCs w:val="24"/>
        </w:rPr>
      </w:pPr>
    </w:p>
    <w:p w:rsidR="00565CB6" w:rsidRPr="00273F14" w:rsidRDefault="00565CB6" w:rsidP="00536E70">
      <w:pPr>
        <w:pStyle w:val="BodyText3"/>
        <w:numPr>
          <w:ilvl w:val="12"/>
          <w:numId w:val="0"/>
        </w:numPr>
        <w:rPr>
          <w:szCs w:val="24"/>
        </w:rPr>
      </w:pPr>
      <w:bookmarkStart w:id="0" w:name="_GoBack"/>
      <w:bookmarkEnd w:id="0"/>
    </w:p>
    <w:p w:rsidR="00525A10" w:rsidRDefault="00525A10" w:rsidP="00B65733">
      <w:pPr>
        <w:pStyle w:val="xl27"/>
      </w:pPr>
    </w:p>
    <w:p w:rsidR="00525A10" w:rsidRDefault="00525A10" w:rsidP="00B65733">
      <w:pPr>
        <w:pStyle w:val="xl27"/>
      </w:pPr>
    </w:p>
    <w:p w:rsidR="00525A10" w:rsidRDefault="00525A10" w:rsidP="00B65733">
      <w:pPr>
        <w:pStyle w:val="xl27"/>
      </w:pPr>
    </w:p>
    <w:p w:rsidR="00536E70" w:rsidRPr="00273F14" w:rsidRDefault="00BB6291" w:rsidP="00B65733">
      <w:pPr>
        <w:pStyle w:val="xl27"/>
      </w:pPr>
      <w:r>
        <w:lastRenderedPageBreak/>
        <w:t>G</w:t>
      </w:r>
      <w:r w:rsidR="00B65733" w:rsidRPr="00273F14">
        <w:t xml:space="preserve">. </w:t>
      </w:r>
      <w:r w:rsidR="00536E70" w:rsidRPr="00273F14">
        <w:t xml:space="preserve">  Performance Challenges</w:t>
      </w:r>
    </w:p>
    <w:p w:rsidR="00536E70" w:rsidRPr="00273F14" w:rsidRDefault="00536E70" w:rsidP="00536E70">
      <w:pPr>
        <w:numPr>
          <w:ilvl w:val="12"/>
          <w:numId w:val="0"/>
        </w:numPr>
        <w:rPr>
          <w:color w:val="000000"/>
        </w:rPr>
      </w:pPr>
    </w:p>
    <w:p w:rsidR="00536E70" w:rsidRPr="00273F14" w:rsidRDefault="00536E70" w:rsidP="00536E70">
      <w:pPr>
        <w:numPr>
          <w:ilvl w:val="12"/>
          <w:numId w:val="0"/>
        </w:numPr>
        <w:rPr>
          <w:color w:val="000000"/>
        </w:rPr>
      </w:pPr>
      <w:r w:rsidRPr="00273F14">
        <w:rPr>
          <w:color w:val="000000"/>
        </w:rPr>
        <w:t>The challenges</w:t>
      </w:r>
      <w:r w:rsidRPr="00273F14">
        <w:rPr>
          <w:b/>
          <w:bCs/>
          <w:color w:val="000000"/>
        </w:rPr>
        <w:t xml:space="preserve"> </w:t>
      </w:r>
      <w:r w:rsidRPr="00273F14">
        <w:rPr>
          <w:color w:val="000000"/>
        </w:rPr>
        <w:t>that</w:t>
      </w:r>
      <w:r w:rsidRPr="00273F14">
        <w:rPr>
          <w:b/>
          <w:bCs/>
          <w:color w:val="000000"/>
        </w:rPr>
        <w:t xml:space="preserve"> </w:t>
      </w:r>
      <w:r w:rsidRPr="00273F14">
        <w:rPr>
          <w:color w:val="000000"/>
        </w:rPr>
        <w:t xml:space="preserve">impact achievement of </w:t>
      </w:r>
      <w:r w:rsidR="00E03F90" w:rsidRPr="00273F14">
        <w:rPr>
          <w:color w:val="000000"/>
        </w:rPr>
        <w:t>Program</w:t>
      </w:r>
      <w:r w:rsidRPr="00273F14">
        <w:rPr>
          <w:color w:val="000000"/>
        </w:rPr>
        <w:t xml:space="preserve"> goals are</w:t>
      </w:r>
      <w:r w:rsidRPr="00273F14">
        <w:rPr>
          <w:b/>
          <w:bCs/>
          <w:color w:val="000000"/>
        </w:rPr>
        <w:t xml:space="preserve"> </w:t>
      </w:r>
      <w:r w:rsidRPr="00273F14">
        <w:rPr>
          <w:color w:val="000000"/>
        </w:rPr>
        <w:t xml:space="preserve">complex and dynamic.  New legislation and case law, technological developments, changing demographics, political decisions, and </w:t>
      </w:r>
      <w:r w:rsidR="008544DB" w:rsidRPr="00273F14">
        <w:rPr>
          <w:color w:val="000000"/>
        </w:rPr>
        <w:t xml:space="preserve">the </w:t>
      </w:r>
      <w:r w:rsidRPr="00273F14">
        <w:rPr>
          <w:color w:val="000000"/>
        </w:rPr>
        <w:t>international</w:t>
      </w:r>
      <w:r w:rsidR="008544DB" w:rsidRPr="00273F14">
        <w:rPr>
          <w:color w:val="000000"/>
        </w:rPr>
        <w:t>ization of</w:t>
      </w:r>
      <w:r w:rsidRPr="00273F14">
        <w:rPr>
          <w:color w:val="000000"/>
        </w:rPr>
        <w:t xml:space="preserve"> criminal organizations are only a few factors that impact </w:t>
      </w:r>
      <w:r w:rsidR="0009029C">
        <w:rPr>
          <w:color w:val="000000"/>
        </w:rPr>
        <w:t>AFP</w:t>
      </w:r>
      <w:r w:rsidRPr="00273F14">
        <w:rPr>
          <w:color w:val="000000"/>
        </w:rPr>
        <w:t xml:space="preserve"> and pose challenges that demand attention.  The following situations are challenges that the </w:t>
      </w:r>
      <w:r w:rsidR="00E03F90" w:rsidRPr="00273F14">
        <w:rPr>
          <w:color w:val="000000"/>
        </w:rPr>
        <w:t>Program</w:t>
      </w:r>
      <w:r w:rsidRPr="00273F14">
        <w:rPr>
          <w:color w:val="000000"/>
        </w:rPr>
        <w:t xml:space="preserve"> is facing.   </w:t>
      </w:r>
    </w:p>
    <w:p w:rsidR="00536E70" w:rsidRPr="00273F14" w:rsidRDefault="00536E70" w:rsidP="00536E70">
      <w:pPr>
        <w:numPr>
          <w:ilvl w:val="12"/>
          <w:numId w:val="0"/>
        </w:numPr>
        <w:rPr>
          <w:b/>
          <w:bCs/>
          <w:color w:val="000000"/>
        </w:rPr>
      </w:pPr>
      <w:r w:rsidRPr="00273F14">
        <w:rPr>
          <w:color w:val="000000"/>
        </w:rPr>
        <w:t xml:space="preserve">  </w:t>
      </w:r>
    </w:p>
    <w:p w:rsidR="00536E70" w:rsidRPr="00273F14" w:rsidRDefault="00536E70" w:rsidP="00536E70">
      <w:pPr>
        <w:keepNext/>
        <w:rPr>
          <w:rFonts w:ascii="Arial" w:hAnsi="Arial"/>
          <w:b/>
        </w:rPr>
      </w:pPr>
      <w:bookmarkStart w:id="1" w:name="OLE_LINK1"/>
      <w:r w:rsidRPr="00273F14">
        <w:rPr>
          <w:rFonts w:ascii="Arial" w:hAnsi="Arial"/>
          <w:b/>
        </w:rPr>
        <w:t xml:space="preserve">External Challenges  </w:t>
      </w:r>
    </w:p>
    <w:p w:rsidR="008C2228" w:rsidRPr="00273F14" w:rsidRDefault="008C2228" w:rsidP="008C2228">
      <w:pPr>
        <w:keepNext/>
        <w:rPr>
          <w:rFonts w:ascii="Arial" w:hAnsi="Arial"/>
          <w:bCs/>
        </w:rPr>
      </w:pPr>
    </w:p>
    <w:p w:rsidR="00D84ADA" w:rsidRDefault="007A54DF" w:rsidP="008C2228">
      <w:pPr>
        <w:pStyle w:val="Level1"/>
        <w:ind w:left="0"/>
        <w:rPr>
          <w:rFonts w:ascii="Times New Roman" w:hAnsi="Times New Roman"/>
          <w:color w:val="000000"/>
          <w:sz w:val="24"/>
        </w:rPr>
      </w:pPr>
      <w:r w:rsidRPr="008C2228">
        <w:rPr>
          <w:rFonts w:ascii="Times New Roman" w:hAnsi="Times New Roman"/>
          <w:color w:val="000000"/>
          <w:sz w:val="24"/>
        </w:rPr>
        <w:t xml:space="preserve">International </w:t>
      </w:r>
      <w:r w:rsidR="00D84ADA" w:rsidRPr="008C2228">
        <w:rPr>
          <w:rFonts w:ascii="Times New Roman" w:hAnsi="Times New Roman"/>
          <w:color w:val="000000"/>
          <w:sz w:val="24"/>
        </w:rPr>
        <w:t>money laundering and forfeiture investigations continue to target millions of dollars in illegal proceeds that have been secreted overseas.  Indeed, every major forfeiture case has had international aspects to it as criminals increasingly seek to hide their criminal proceeds by placing them off-shore.  Often times, prosecutors are able to negotiate agreements in which criminals or account holders are willing to repatriate foreign based criminal wealth.   Additionally, the enforcement of US forfeiture judgments by foreign courts and the reverse sharing of assets is potentially a significant source of the Fund’s receipts</w:t>
      </w:r>
      <w:r w:rsidR="008C2228" w:rsidRPr="008C2228">
        <w:rPr>
          <w:rFonts w:ascii="Times New Roman" w:hAnsi="Times New Roman"/>
          <w:color w:val="000000"/>
          <w:sz w:val="24"/>
        </w:rPr>
        <w:t>.</w:t>
      </w:r>
      <w:r w:rsidR="00D84ADA" w:rsidRPr="008C2228">
        <w:rPr>
          <w:rFonts w:ascii="Times New Roman" w:hAnsi="Times New Roman"/>
          <w:color w:val="000000"/>
          <w:sz w:val="24"/>
        </w:rPr>
        <w:t xml:space="preserve"> </w:t>
      </w:r>
    </w:p>
    <w:p w:rsidR="008C2228" w:rsidRPr="008C2228" w:rsidRDefault="008C2228" w:rsidP="003E2638">
      <w:pPr>
        <w:pStyle w:val="Level1"/>
        <w:rPr>
          <w:rFonts w:ascii="Times New Roman" w:hAnsi="Times New Roman"/>
          <w:color w:val="000000"/>
          <w:sz w:val="24"/>
        </w:rPr>
      </w:pPr>
    </w:p>
    <w:p w:rsidR="007A54DF" w:rsidRPr="00273F14" w:rsidRDefault="00D84ADA" w:rsidP="007A54DF">
      <w:pPr>
        <w:pStyle w:val="Level1"/>
        <w:ind w:left="0"/>
        <w:rPr>
          <w:rFonts w:ascii="Times New Roman" w:hAnsi="Times New Roman"/>
          <w:color w:val="000000"/>
          <w:sz w:val="24"/>
        </w:rPr>
      </w:pPr>
      <w:r w:rsidRPr="00273F14">
        <w:rPr>
          <w:rFonts w:ascii="Times New Roman" w:hAnsi="Times New Roman"/>
          <w:color w:val="000000"/>
          <w:sz w:val="24"/>
        </w:rPr>
        <w:t xml:space="preserve">The United States currently has a Mutual Legal Assistance Treaty (MLAT), which facilitates forfeiture cooperation, with 68 countries.  In addition, more than 185 countries are parties to the Vienna Drug Convention, 165 countries are parties to the United Nations Convention against Transnational Organized Crime, and 159 countries are parties to the U.N. Convention Against Corruption.  The U.S. is a party to all of these conventions, which contain forfeiture cooperation provisions and encourage jurisdictions to have mechanisms for asset sharing and/or asset repatriation.  The Department recognizes asset sharing with other jurisdictions that facilitate successful forfeiture cases will foster greater cooperation with these countries in the future.  </w:t>
      </w:r>
    </w:p>
    <w:bookmarkEnd w:id="1"/>
    <w:p w:rsidR="00536E70" w:rsidRPr="00273F14" w:rsidRDefault="00536E70" w:rsidP="007A54DF">
      <w:pPr>
        <w:pStyle w:val="Level1"/>
        <w:ind w:left="360" w:right="-360"/>
      </w:pPr>
    </w:p>
    <w:p w:rsidR="00536E70" w:rsidRPr="00273F14" w:rsidRDefault="00536E70" w:rsidP="00536E70">
      <w:pPr>
        <w:pStyle w:val="BodyText"/>
        <w:rPr>
          <w:rFonts w:ascii="Arial" w:hAnsi="Arial"/>
          <w:b/>
        </w:rPr>
      </w:pPr>
    </w:p>
    <w:p w:rsidR="00536E70" w:rsidRPr="00273F14" w:rsidRDefault="00536E70" w:rsidP="0015440D">
      <w:pPr>
        <w:keepNext/>
        <w:rPr>
          <w:rFonts w:ascii="Arial" w:hAnsi="Arial"/>
          <w:b/>
        </w:rPr>
      </w:pPr>
      <w:bookmarkStart w:id="2" w:name="OLE_LINK9"/>
      <w:bookmarkStart w:id="3" w:name="OLE_LINK10"/>
      <w:bookmarkStart w:id="4" w:name="OLE_LINK11"/>
      <w:r w:rsidRPr="00273F14">
        <w:rPr>
          <w:rFonts w:ascii="Arial" w:hAnsi="Arial"/>
          <w:b/>
        </w:rPr>
        <w:t>Internal Challenges</w:t>
      </w:r>
    </w:p>
    <w:p w:rsidR="00536E70" w:rsidRPr="00273F14" w:rsidRDefault="00536E70" w:rsidP="0015440D">
      <w:pPr>
        <w:keepNext/>
        <w:rPr>
          <w:rFonts w:ascii="Arial" w:hAnsi="Arial"/>
          <w:b/>
        </w:rPr>
      </w:pPr>
    </w:p>
    <w:p w:rsidR="00536E70" w:rsidRPr="00273F14" w:rsidRDefault="00536E70" w:rsidP="0015440D">
      <w:pPr>
        <w:keepNext/>
        <w:rPr>
          <w:color w:val="000000"/>
          <w:szCs w:val="20"/>
        </w:rPr>
      </w:pPr>
      <w:r w:rsidRPr="00273F14">
        <w:t xml:space="preserve">The </w:t>
      </w:r>
      <w:r w:rsidR="00D547E6" w:rsidRPr="00273F14">
        <w:t>Program</w:t>
      </w:r>
      <w:r w:rsidRPr="00273F14">
        <w:t xml:space="preserve"> faces</w:t>
      </w:r>
      <w:r w:rsidRPr="00273F14">
        <w:rPr>
          <w:b/>
          <w:bCs/>
        </w:rPr>
        <w:t xml:space="preserve"> </w:t>
      </w:r>
      <w:r w:rsidRPr="00273F14">
        <w:t>many internal challenges in FY 20</w:t>
      </w:r>
      <w:r w:rsidR="00806939" w:rsidRPr="00273F14">
        <w:t>1</w:t>
      </w:r>
      <w:r w:rsidR="00ED5233">
        <w:t>4</w:t>
      </w:r>
      <w:r w:rsidRPr="00273F14">
        <w:t>, primarily in enhancing its financial and property management capabilities.</w:t>
      </w:r>
      <w:r w:rsidRPr="00273F14">
        <w:rPr>
          <w:color w:val="000000"/>
          <w:szCs w:val="20"/>
        </w:rPr>
        <w:t xml:space="preserve"> </w:t>
      </w:r>
    </w:p>
    <w:p w:rsidR="00662F0D" w:rsidRPr="00273F14" w:rsidRDefault="00662F0D" w:rsidP="00662F0D">
      <w:pPr>
        <w:rPr>
          <w:szCs w:val="20"/>
        </w:rPr>
      </w:pPr>
      <w:bookmarkStart w:id="5" w:name="OLE_LINK3"/>
      <w:bookmarkStart w:id="6" w:name="OLE_LINK4"/>
      <w:bookmarkEnd w:id="2"/>
      <w:bookmarkEnd w:id="3"/>
    </w:p>
    <w:p w:rsidR="001266BD" w:rsidRPr="00A82047" w:rsidRDefault="001266BD" w:rsidP="001266BD">
      <w:pPr>
        <w:numPr>
          <w:ilvl w:val="0"/>
          <w:numId w:val="26"/>
        </w:numPr>
        <w:rPr>
          <w:b/>
          <w:szCs w:val="20"/>
        </w:rPr>
      </w:pPr>
      <w:r w:rsidRPr="00A82047">
        <w:rPr>
          <w:b/>
          <w:szCs w:val="20"/>
        </w:rPr>
        <w:t>Data Quality:</w:t>
      </w:r>
      <w:r w:rsidRPr="00A82047">
        <w:rPr>
          <w:szCs w:val="20"/>
        </w:rPr>
        <w:t xml:space="preserve">  The</w:t>
      </w:r>
      <w:r w:rsidR="0046669E" w:rsidRPr="00A82047">
        <w:rPr>
          <w:szCs w:val="20"/>
        </w:rPr>
        <w:t xml:space="preserve"> FY</w:t>
      </w:r>
      <w:r w:rsidRPr="00A82047">
        <w:rPr>
          <w:szCs w:val="20"/>
        </w:rPr>
        <w:t xml:space="preserve"> 20</w:t>
      </w:r>
      <w:r w:rsidR="00876253" w:rsidRPr="00A82047">
        <w:rPr>
          <w:szCs w:val="20"/>
        </w:rPr>
        <w:t>1</w:t>
      </w:r>
      <w:r w:rsidR="00A82047" w:rsidRPr="00A82047">
        <w:rPr>
          <w:szCs w:val="20"/>
        </w:rPr>
        <w:t>2</w:t>
      </w:r>
      <w:r w:rsidRPr="00A82047">
        <w:rPr>
          <w:szCs w:val="20"/>
        </w:rPr>
        <w:t xml:space="preserve"> AFF/Seized Asset Deposit Fund (SADF) financial statements received an unqualified opinion</w:t>
      </w:r>
      <w:r w:rsidR="001A53B1" w:rsidRPr="00A82047">
        <w:rPr>
          <w:szCs w:val="20"/>
        </w:rPr>
        <w:t xml:space="preserve"> as there were no significant </w:t>
      </w:r>
      <w:r w:rsidR="00273F14" w:rsidRPr="00A82047">
        <w:rPr>
          <w:szCs w:val="20"/>
        </w:rPr>
        <w:t>deficiencies</w:t>
      </w:r>
      <w:r w:rsidRPr="00A82047">
        <w:t xml:space="preserve">.  </w:t>
      </w:r>
    </w:p>
    <w:bookmarkEnd w:id="4"/>
    <w:bookmarkEnd w:id="5"/>
    <w:bookmarkEnd w:id="6"/>
    <w:p w:rsidR="001266BD" w:rsidRPr="00273F14" w:rsidRDefault="001266BD" w:rsidP="00021505">
      <w:pPr>
        <w:pStyle w:val="BodyText"/>
        <w:ind w:left="720"/>
        <w:rPr>
          <w:bCs/>
        </w:rPr>
      </w:pPr>
    </w:p>
    <w:p w:rsidR="00021505" w:rsidRPr="00273F14" w:rsidRDefault="00CA5D17" w:rsidP="00021505">
      <w:pPr>
        <w:pStyle w:val="BodyText"/>
        <w:ind w:left="720"/>
        <w:rPr>
          <w:bCs/>
        </w:rPr>
      </w:pPr>
      <w:r w:rsidRPr="00273F14">
        <w:rPr>
          <w:bCs/>
        </w:rPr>
        <w:t>The AFMS is implementing</w:t>
      </w:r>
      <w:r w:rsidR="00021505" w:rsidRPr="00273F14">
        <w:rPr>
          <w:bCs/>
        </w:rPr>
        <w:t xml:space="preserve"> the Unified Financial Management System (UFMS).  UFMS is a financial system that incorporates standard capabilities, business processes, business rules, reference data, interfaces, and reports that will be used throughout the department.  UFMS will benefit the Departme</w:t>
      </w:r>
      <w:r w:rsidR="006F26D9" w:rsidRPr="00273F14">
        <w:rPr>
          <w:bCs/>
        </w:rPr>
        <w:t>nt of Justice by</w:t>
      </w:r>
      <w:r w:rsidR="00021505" w:rsidRPr="00273F14">
        <w:rPr>
          <w:bCs/>
        </w:rPr>
        <w:t xml:space="preserve"> addressing material weaknesses in the </w:t>
      </w:r>
      <w:r w:rsidR="00CE0D16" w:rsidRPr="00273F14">
        <w:rPr>
          <w:bCs/>
        </w:rPr>
        <w:t>D</w:t>
      </w:r>
      <w:r w:rsidR="00021505" w:rsidRPr="00273F14">
        <w:rPr>
          <w:bCs/>
        </w:rPr>
        <w:t>epartment</w:t>
      </w:r>
      <w:r w:rsidR="00CE0D16" w:rsidRPr="00273F14">
        <w:rPr>
          <w:bCs/>
        </w:rPr>
        <w:t>’</w:t>
      </w:r>
      <w:r w:rsidR="00021505" w:rsidRPr="00273F14">
        <w:rPr>
          <w:bCs/>
        </w:rPr>
        <w:t xml:space="preserve">s financial system and accounting operations and enhance system security.  </w:t>
      </w:r>
    </w:p>
    <w:p w:rsidR="00536E70" w:rsidRPr="00273F14" w:rsidRDefault="00536E70">
      <w:pPr>
        <w:pStyle w:val="BodyText"/>
        <w:rPr>
          <w:rFonts w:ascii="Arial" w:hAnsi="Arial" w:cs="Arial"/>
          <w:b/>
          <w:bCs/>
        </w:rPr>
      </w:pPr>
      <w:r w:rsidRPr="00273F14">
        <w:rPr>
          <w:rFonts w:ascii="Arial" w:hAnsi="Arial" w:cs="Arial"/>
          <w:b/>
          <w:bCs/>
        </w:rPr>
        <w:br w:type="page"/>
      </w:r>
    </w:p>
    <w:p w:rsidR="00BD7466" w:rsidRPr="00273F14" w:rsidRDefault="00BD7466" w:rsidP="00BD7466">
      <w:pPr>
        <w:pStyle w:val="BodyText"/>
        <w:rPr>
          <w:rFonts w:cs="Arial"/>
          <w:b/>
          <w:bCs/>
        </w:rPr>
      </w:pPr>
      <w:bookmarkStart w:id="7" w:name="OLE_LINK5"/>
      <w:bookmarkStart w:id="8" w:name="OLE_LINK6"/>
      <w:r w:rsidRPr="00273F14">
        <w:rPr>
          <w:rFonts w:cs="Arial"/>
          <w:b/>
          <w:bCs/>
        </w:rPr>
        <w:lastRenderedPageBreak/>
        <w:t>II.  Appropriation</w:t>
      </w:r>
      <w:r w:rsidR="00FF5D2F" w:rsidRPr="00273F14">
        <w:rPr>
          <w:rFonts w:cs="Arial"/>
          <w:b/>
          <w:bCs/>
        </w:rPr>
        <w:t>s</w:t>
      </w:r>
      <w:r w:rsidRPr="00273F14">
        <w:rPr>
          <w:rFonts w:cs="Arial"/>
          <w:b/>
          <w:bCs/>
        </w:rPr>
        <w:t xml:space="preserve"> Language and Analysis of Appropriation</w:t>
      </w:r>
      <w:r w:rsidR="00FF5D2F" w:rsidRPr="00273F14">
        <w:rPr>
          <w:rFonts w:cs="Arial"/>
          <w:b/>
          <w:bCs/>
        </w:rPr>
        <w:t>s</w:t>
      </w:r>
      <w:r w:rsidRPr="00273F14">
        <w:rPr>
          <w:rFonts w:cs="Arial"/>
          <w:b/>
          <w:bCs/>
        </w:rPr>
        <w:t xml:space="preserve"> Language</w:t>
      </w:r>
    </w:p>
    <w:p w:rsidR="00BD7466" w:rsidRPr="00273F14" w:rsidRDefault="00BD7466" w:rsidP="00BD7466">
      <w:pPr>
        <w:pStyle w:val="BodyText"/>
        <w:rPr>
          <w:rFonts w:cs="Arial"/>
          <w:b/>
          <w:bCs/>
        </w:rPr>
      </w:pPr>
    </w:p>
    <w:p w:rsidR="00BD7466" w:rsidRPr="00273F14" w:rsidRDefault="00BD7466" w:rsidP="00BD7466">
      <w:pPr>
        <w:pStyle w:val="BodyText"/>
        <w:rPr>
          <w:rFonts w:cs="Arial"/>
          <w:b/>
          <w:bCs/>
        </w:rPr>
      </w:pPr>
      <w:r w:rsidRPr="00273F14">
        <w:rPr>
          <w:rFonts w:cs="Arial"/>
          <w:b/>
          <w:bCs/>
        </w:rPr>
        <w:t>Appropriation</w:t>
      </w:r>
      <w:r w:rsidR="00FF5D2F" w:rsidRPr="00273F14">
        <w:rPr>
          <w:rFonts w:cs="Arial"/>
          <w:b/>
          <w:bCs/>
        </w:rPr>
        <w:t>s</w:t>
      </w:r>
      <w:r w:rsidRPr="00273F14">
        <w:rPr>
          <w:rFonts w:cs="Arial"/>
          <w:b/>
          <w:bCs/>
        </w:rPr>
        <w:t xml:space="preserve"> Language</w:t>
      </w:r>
    </w:p>
    <w:p w:rsidR="00E356AD" w:rsidRPr="00273F14" w:rsidRDefault="00E356AD" w:rsidP="00BD7466">
      <w:pPr>
        <w:pStyle w:val="BodyText"/>
        <w:rPr>
          <w:rFonts w:cs="Arial"/>
          <w:b/>
          <w:bCs/>
        </w:rPr>
      </w:pPr>
    </w:p>
    <w:p w:rsidR="00F900C2" w:rsidRPr="00273F14" w:rsidRDefault="00F900C2" w:rsidP="00F900C2">
      <w:pPr>
        <w:pStyle w:val="BodyText"/>
        <w:rPr>
          <w:rFonts w:cs="Arial"/>
          <w:bCs/>
          <w:i/>
        </w:rPr>
      </w:pPr>
      <w:r w:rsidRPr="00273F14">
        <w:rPr>
          <w:rFonts w:cs="Arial"/>
          <w:bCs/>
          <w:i/>
        </w:rPr>
        <w:t xml:space="preserve">For expenses authorized by 28 U.S.C. 524(c) (1) (B), (F), and (G), </w:t>
      </w:r>
      <w:r w:rsidR="00922598" w:rsidRPr="00273F14">
        <w:rPr>
          <w:rFonts w:cs="Arial"/>
          <w:bCs/>
          <w:i/>
        </w:rPr>
        <w:t>$20,9</w:t>
      </w:r>
      <w:r w:rsidR="00876253" w:rsidRPr="00273F14">
        <w:rPr>
          <w:rFonts w:cs="Arial"/>
          <w:bCs/>
          <w:i/>
        </w:rPr>
        <w:t>48</w:t>
      </w:r>
      <w:r w:rsidR="00922598" w:rsidRPr="00273F14">
        <w:rPr>
          <w:rFonts w:cs="Arial"/>
          <w:bCs/>
          <w:i/>
        </w:rPr>
        <w:t>,000</w:t>
      </w:r>
      <w:r w:rsidRPr="00273F14">
        <w:rPr>
          <w:rFonts w:cs="Arial"/>
          <w:bCs/>
          <w:i/>
        </w:rPr>
        <w:t xml:space="preserve"> to be derived from the Department of Justice Assets Forfeiture Fund.</w:t>
      </w:r>
    </w:p>
    <w:p w:rsidR="00F900C2" w:rsidRPr="00273F14" w:rsidRDefault="00F900C2" w:rsidP="00F900C2">
      <w:pPr>
        <w:pStyle w:val="BodyText"/>
        <w:rPr>
          <w:rFonts w:cs="Arial"/>
          <w:bCs/>
          <w:i/>
          <w:u w:val="single"/>
        </w:rPr>
      </w:pPr>
    </w:p>
    <w:p w:rsidR="00F900C2" w:rsidRPr="00273F14" w:rsidRDefault="00F900C2" w:rsidP="00F900C2">
      <w:pPr>
        <w:pStyle w:val="BodyText"/>
        <w:jc w:val="center"/>
        <w:rPr>
          <w:rFonts w:cs="Arial"/>
          <w:bCs/>
          <w:i/>
        </w:rPr>
      </w:pPr>
      <w:r w:rsidRPr="00273F14">
        <w:rPr>
          <w:rFonts w:cs="Arial"/>
          <w:bCs/>
          <w:i/>
        </w:rPr>
        <w:t>(</w:t>
      </w:r>
      <w:r w:rsidR="007A1F64" w:rsidRPr="00273F14">
        <w:rPr>
          <w:rFonts w:cs="Arial"/>
          <w:bCs/>
          <w:i/>
        </w:rPr>
        <w:t>including cancellation</w:t>
      </w:r>
      <w:r w:rsidRPr="00273F14">
        <w:rPr>
          <w:rFonts w:cs="Arial"/>
          <w:bCs/>
          <w:i/>
        </w:rPr>
        <w:t xml:space="preserve">) </w:t>
      </w:r>
    </w:p>
    <w:p w:rsidR="00F900C2" w:rsidRPr="00273F14" w:rsidRDefault="00F900C2" w:rsidP="00F900C2">
      <w:pPr>
        <w:pStyle w:val="BodyText"/>
        <w:rPr>
          <w:rFonts w:cs="Arial"/>
          <w:bCs/>
          <w:i/>
          <w:u w:val="single"/>
        </w:rPr>
      </w:pPr>
    </w:p>
    <w:p w:rsidR="00F900C2" w:rsidRPr="00273F14" w:rsidRDefault="00F900C2" w:rsidP="00F900C2">
      <w:pPr>
        <w:pStyle w:val="BodyText"/>
        <w:rPr>
          <w:rFonts w:cs="Arial"/>
          <w:bCs/>
          <w:i/>
        </w:rPr>
      </w:pPr>
      <w:r w:rsidRPr="00273F14">
        <w:rPr>
          <w:rFonts w:cs="Arial"/>
          <w:bCs/>
          <w:i/>
        </w:rPr>
        <w:t>Of the unobligated balances available under this heading,</w:t>
      </w:r>
      <w:r w:rsidR="00922598" w:rsidRPr="00273F14">
        <w:rPr>
          <w:rFonts w:cs="Arial"/>
          <w:bCs/>
          <w:i/>
        </w:rPr>
        <w:t xml:space="preserve"> $</w:t>
      </w:r>
      <w:r w:rsidR="002B6EF8" w:rsidRPr="00273F14">
        <w:rPr>
          <w:rFonts w:cs="Arial"/>
          <w:bCs/>
          <w:i/>
        </w:rPr>
        <w:t>6</w:t>
      </w:r>
      <w:r w:rsidR="00876253" w:rsidRPr="00273F14">
        <w:rPr>
          <w:rFonts w:cs="Arial"/>
          <w:bCs/>
          <w:i/>
        </w:rPr>
        <w:t>75</w:t>
      </w:r>
      <w:r w:rsidR="00A65A1F" w:rsidRPr="00273F14">
        <w:rPr>
          <w:rFonts w:cs="Arial"/>
          <w:bCs/>
          <w:i/>
        </w:rPr>
        <w:t>,000,000</w:t>
      </w:r>
      <w:r w:rsidRPr="00273F14">
        <w:rPr>
          <w:rFonts w:cs="Arial"/>
          <w:bCs/>
          <w:i/>
        </w:rPr>
        <w:t xml:space="preserve"> </w:t>
      </w:r>
      <w:r w:rsidR="00922598" w:rsidRPr="00273F14">
        <w:rPr>
          <w:rFonts w:cs="Arial"/>
          <w:bCs/>
          <w:i/>
        </w:rPr>
        <w:t>are</w:t>
      </w:r>
      <w:r w:rsidRPr="00273F14">
        <w:rPr>
          <w:rFonts w:cs="Arial"/>
          <w:bCs/>
          <w:i/>
        </w:rPr>
        <w:t xml:space="preserve"> </w:t>
      </w:r>
      <w:r w:rsidR="00B27B29" w:rsidRPr="00273F14">
        <w:rPr>
          <w:rFonts w:cs="Arial"/>
          <w:bCs/>
          <w:i/>
        </w:rPr>
        <w:t>hereby</w:t>
      </w:r>
      <w:r w:rsidR="002B0648" w:rsidRPr="00273F14">
        <w:rPr>
          <w:rFonts w:cs="Arial"/>
          <w:bCs/>
          <w:i/>
        </w:rPr>
        <w:t xml:space="preserve"> </w:t>
      </w:r>
      <w:r w:rsidR="007A1F64" w:rsidRPr="0033480F">
        <w:rPr>
          <w:rFonts w:cs="Arial"/>
          <w:bCs/>
          <w:i/>
        </w:rPr>
        <w:t>permanently</w:t>
      </w:r>
      <w:r w:rsidR="007A1F64" w:rsidRPr="00273F14">
        <w:rPr>
          <w:rFonts w:cs="Arial"/>
          <w:bCs/>
          <w:i/>
        </w:rPr>
        <w:t xml:space="preserve"> cancelled</w:t>
      </w:r>
      <w:r w:rsidR="00B27B29" w:rsidRPr="00273F14">
        <w:rPr>
          <w:rFonts w:cs="Arial"/>
          <w:bCs/>
          <w:i/>
        </w:rPr>
        <w:t>.</w:t>
      </w:r>
    </w:p>
    <w:p w:rsidR="00F900C2" w:rsidRPr="00273F14" w:rsidRDefault="00F900C2" w:rsidP="00F900C2">
      <w:pPr>
        <w:pStyle w:val="BodyText"/>
        <w:rPr>
          <w:rFonts w:cs="Arial"/>
          <w:bCs/>
          <w:i/>
        </w:rPr>
      </w:pPr>
    </w:p>
    <w:p w:rsidR="00F900C2" w:rsidRPr="00273F14" w:rsidRDefault="005122B7" w:rsidP="00F900C2">
      <w:pPr>
        <w:pStyle w:val="BodyText"/>
        <w:rPr>
          <w:rFonts w:cs="Arial"/>
          <w:bCs/>
        </w:rPr>
      </w:pPr>
      <w:r w:rsidRPr="00273F14">
        <w:rPr>
          <w:rFonts w:cs="Arial"/>
          <w:bCs/>
        </w:rPr>
        <w:t>Analysis of Appropriations Language</w:t>
      </w:r>
    </w:p>
    <w:p w:rsidR="005122B7" w:rsidRPr="00273F14" w:rsidRDefault="005122B7" w:rsidP="00F900C2">
      <w:pPr>
        <w:pStyle w:val="BodyText"/>
        <w:rPr>
          <w:rFonts w:cs="Arial"/>
          <w:bCs/>
        </w:rPr>
      </w:pPr>
    </w:p>
    <w:p w:rsidR="005122B7" w:rsidRPr="00273F14" w:rsidRDefault="005122B7" w:rsidP="00F900C2">
      <w:pPr>
        <w:pStyle w:val="BodyText"/>
        <w:rPr>
          <w:rFonts w:cs="Arial"/>
          <w:bCs/>
        </w:rPr>
      </w:pPr>
      <w:r w:rsidRPr="00273F14">
        <w:rPr>
          <w:rFonts w:cs="Arial"/>
          <w:bCs/>
        </w:rPr>
        <w:t>No substantive changes are proposed.</w:t>
      </w:r>
    </w:p>
    <w:bookmarkEnd w:id="7"/>
    <w:bookmarkEnd w:id="8"/>
    <w:p w:rsidR="0033480F" w:rsidRDefault="0033480F">
      <w:pPr>
        <w:rPr>
          <w:szCs w:val="20"/>
        </w:rPr>
      </w:pPr>
      <w:r>
        <w:br w:type="page"/>
      </w:r>
    </w:p>
    <w:p w:rsidR="0033480F" w:rsidRPr="00273F14" w:rsidRDefault="0033480F" w:rsidP="0033480F">
      <w:pPr>
        <w:pStyle w:val="BodyText"/>
        <w:rPr>
          <w:rFonts w:cs="Arial"/>
          <w:b/>
          <w:bCs/>
        </w:rPr>
      </w:pPr>
      <w:r w:rsidRPr="00273F14">
        <w:rPr>
          <w:rFonts w:cs="Arial"/>
          <w:b/>
          <w:bCs/>
        </w:rPr>
        <w:lastRenderedPageBreak/>
        <w:t>III. Decision Unit Justification</w:t>
      </w:r>
    </w:p>
    <w:p w:rsidR="0033480F" w:rsidRPr="00273F14" w:rsidRDefault="0033480F" w:rsidP="0033480F">
      <w:pPr>
        <w:pStyle w:val="BodyText"/>
        <w:rPr>
          <w:rFonts w:cs="Arial"/>
          <w:b/>
          <w:bCs/>
        </w:rPr>
      </w:pPr>
      <w:r w:rsidRPr="00273F14">
        <w:rPr>
          <w:rFonts w:cs="Arial"/>
          <w:b/>
          <w:bCs/>
        </w:rPr>
        <w:t>Asset Forfeiture Program</w:t>
      </w:r>
    </w:p>
    <w:p w:rsidR="0033480F" w:rsidRPr="00273F14" w:rsidRDefault="0033480F" w:rsidP="0033480F">
      <w:pPr>
        <w:pStyle w:val="BodyText"/>
        <w:rPr>
          <w:rFonts w:cs="Arial"/>
          <w:b/>
          <w:bCs/>
        </w:rPr>
      </w:pPr>
    </w:p>
    <w:tbl>
      <w:tblPr>
        <w:tblW w:w="8385" w:type="dxa"/>
        <w:tblInd w:w="93" w:type="dxa"/>
        <w:tblLayout w:type="fixed"/>
        <w:tblLook w:val="04A0" w:firstRow="1" w:lastRow="0" w:firstColumn="1" w:lastColumn="0" w:noHBand="0" w:noVBand="1"/>
      </w:tblPr>
      <w:tblGrid>
        <w:gridCol w:w="4875"/>
        <w:gridCol w:w="1440"/>
        <w:gridCol w:w="720"/>
        <w:gridCol w:w="1350"/>
      </w:tblGrid>
      <w:tr w:rsidR="0033480F" w:rsidRPr="00273F14" w:rsidTr="002E0440">
        <w:trPr>
          <w:trHeight w:val="341"/>
        </w:trPr>
        <w:tc>
          <w:tcPr>
            <w:tcW w:w="4875" w:type="dxa"/>
            <w:tcBorders>
              <w:top w:val="single" w:sz="4" w:space="0" w:color="auto"/>
              <w:left w:val="single" w:sz="4" w:space="0" w:color="auto"/>
              <w:bottom w:val="single" w:sz="4" w:space="0" w:color="auto"/>
              <w:right w:val="single" w:sz="4" w:space="0" w:color="auto"/>
            </w:tcBorders>
            <w:shd w:val="clear" w:color="auto" w:fill="auto"/>
            <w:noWrap/>
            <w:hideMark/>
          </w:tcPr>
          <w:p w:rsidR="0033480F" w:rsidRPr="00273F14" w:rsidRDefault="0033480F" w:rsidP="002E0440">
            <w:pPr>
              <w:rPr>
                <w:b/>
                <w:bCs/>
                <w:color w:val="000000"/>
              </w:rPr>
            </w:pPr>
            <w:r w:rsidRPr="00273F14">
              <w:rPr>
                <w:b/>
                <w:bCs/>
                <w:color w:val="000000"/>
              </w:rPr>
              <w:t>Asset Forfeiture Program TOTAL</w:t>
            </w:r>
          </w:p>
        </w:tc>
        <w:tc>
          <w:tcPr>
            <w:tcW w:w="1440" w:type="dxa"/>
            <w:tcBorders>
              <w:top w:val="single" w:sz="4" w:space="0" w:color="auto"/>
              <w:left w:val="nil"/>
              <w:bottom w:val="single" w:sz="4" w:space="0" w:color="auto"/>
              <w:right w:val="single" w:sz="4" w:space="0" w:color="auto"/>
            </w:tcBorders>
            <w:shd w:val="clear" w:color="auto" w:fill="auto"/>
            <w:hideMark/>
          </w:tcPr>
          <w:p w:rsidR="0033480F" w:rsidRPr="00273F14" w:rsidRDefault="0033480F" w:rsidP="002E0440">
            <w:pPr>
              <w:jc w:val="center"/>
              <w:rPr>
                <w:b/>
                <w:bCs/>
                <w:color w:val="000000"/>
              </w:rPr>
            </w:pPr>
            <w:r w:rsidRPr="00273F14">
              <w:rPr>
                <w:b/>
                <w:bCs/>
                <w:color w:val="000000"/>
              </w:rPr>
              <w:t>Perm. Pos.</w:t>
            </w:r>
          </w:p>
        </w:tc>
        <w:tc>
          <w:tcPr>
            <w:tcW w:w="720" w:type="dxa"/>
            <w:tcBorders>
              <w:top w:val="single" w:sz="4" w:space="0" w:color="auto"/>
              <w:left w:val="nil"/>
              <w:bottom w:val="single" w:sz="4" w:space="0" w:color="auto"/>
              <w:right w:val="single" w:sz="4" w:space="0" w:color="auto"/>
            </w:tcBorders>
            <w:shd w:val="clear" w:color="auto" w:fill="auto"/>
            <w:noWrap/>
            <w:hideMark/>
          </w:tcPr>
          <w:p w:rsidR="0033480F" w:rsidRPr="00273F14" w:rsidRDefault="0033480F" w:rsidP="002E0440">
            <w:pPr>
              <w:jc w:val="center"/>
              <w:rPr>
                <w:b/>
                <w:bCs/>
                <w:color w:val="000000"/>
              </w:rPr>
            </w:pPr>
            <w:r w:rsidRPr="00273F14">
              <w:rPr>
                <w:b/>
                <w:bCs/>
                <w:color w:val="000000"/>
              </w:rPr>
              <w:t>FTE</w:t>
            </w:r>
          </w:p>
        </w:tc>
        <w:tc>
          <w:tcPr>
            <w:tcW w:w="1350" w:type="dxa"/>
            <w:tcBorders>
              <w:top w:val="single" w:sz="4" w:space="0" w:color="auto"/>
              <w:left w:val="nil"/>
              <w:bottom w:val="single" w:sz="4" w:space="0" w:color="auto"/>
              <w:right w:val="single" w:sz="4" w:space="0" w:color="auto"/>
            </w:tcBorders>
            <w:shd w:val="clear" w:color="auto" w:fill="auto"/>
            <w:noWrap/>
            <w:hideMark/>
          </w:tcPr>
          <w:p w:rsidR="0033480F" w:rsidRPr="00273F14" w:rsidRDefault="0033480F" w:rsidP="002E0440">
            <w:pPr>
              <w:jc w:val="center"/>
              <w:rPr>
                <w:b/>
                <w:bCs/>
                <w:color w:val="000000"/>
              </w:rPr>
            </w:pPr>
            <w:r w:rsidRPr="00273F14">
              <w:rPr>
                <w:b/>
                <w:bCs/>
                <w:color w:val="000000"/>
              </w:rPr>
              <w:t>Amount</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 xml:space="preserve">2012 Enacted </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4,501,705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E278D4">
            <w:pPr>
              <w:rPr>
                <w:color w:val="000000"/>
              </w:rPr>
            </w:pPr>
            <w:r w:rsidRPr="007C7AB1">
              <w:rPr>
                <w:color w:val="000000"/>
              </w:rPr>
              <w:t>2013</w:t>
            </w:r>
            <w:r w:rsidR="00E278D4">
              <w:rPr>
                <w:color w:val="000000"/>
              </w:rPr>
              <w:t xml:space="preserve"> Continuing Resolution</w:t>
            </w:r>
            <w:r w:rsidRPr="007C7AB1">
              <w:rPr>
                <w:color w:val="000000"/>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7847E3">
            <w:pPr>
              <w:jc w:val="right"/>
              <w:rPr>
                <w:color w:val="000000"/>
              </w:rPr>
            </w:pPr>
            <w:r w:rsidRPr="007C7AB1">
              <w:rPr>
                <w:color w:val="000000"/>
              </w:rPr>
              <w:t>1,613,</w:t>
            </w:r>
            <w:r w:rsidR="007847E3">
              <w:rPr>
                <w:color w:val="000000"/>
              </w:rPr>
              <w:t>069</w:t>
            </w:r>
            <w:r w:rsidR="007847E3" w:rsidRPr="007C7AB1">
              <w:rPr>
                <w:color w:val="000000"/>
              </w:rPr>
              <w:t xml:space="preserve">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Adjustments to Base and Technical Adjustments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Current Services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1,577,944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Request</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1,577,944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000000" w:fill="D8D8D8"/>
            <w:noWrap/>
            <w:vAlign w:val="bottom"/>
            <w:hideMark/>
          </w:tcPr>
          <w:p w:rsidR="0033480F" w:rsidRPr="007C7AB1" w:rsidRDefault="0033480F" w:rsidP="002E0440">
            <w:pPr>
              <w:rPr>
                <w:b/>
                <w:bCs/>
                <w:color w:val="000000"/>
              </w:rPr>
            </w:pPr>
            <w:r w:rsidRPr="007C7AB1">
              <w:rPr>
                <w:b/>
                <w:bCs/>
                <w:color w:val="000000"/>
              </w:rPr>
              <w:t>Total Change 2013-2014</w:t>
            </w:r>
          </w:p>
        </w:tc>
        <w:tc>
          <w:tcPr>
            <w:tcW w:w="144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72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1350" w:type="dxa"/>
            <w:tcBorders>
              <w:top w:val="nil"/>
              <w:left w:val="nil"/>
              <w:bottom w:val="single" w:sz="4" w:space="0" w:color="auto"/>
              <w:right w:val="single" w:sz="4" w:space="0" w:color="auto"/>
            </w:tcBorders>
            <w:shd w:val="clear" w:color="000000" w:fill="D8D8D8"/>
            <w:noWrap/>
            <w:vAlign w:val="bottom"/>
            <w:hideMark/>
          </w:tcPr>
          <w:p w:rsidR="0033480F" w:rsidRPr="007C7AB1" w:rsidRDefault="007847E3" w:rsidP="007847E3">
            <w:pPr>
              <w:jc w:val="right"/>
              <w:rPr>
                <w:b/>
                <w:bCs/>
                <w:color w:val="000000"/>
              </w:rPr>
            </w:pPr>
            <w:r>
              <w:rPr>
                <w:b/>
                <w:bCs/>
                <w:color w:val="000000"/>
              </w:rPr>
              <w:t>-</w:t>
            </w:r>
            <w:r w:rsidR="0033480F" w:rsidRPr="007C7AB1">
              <w:rPr>
                <w:b/>
                <w:bCs/>
                <w:color w:val="000000"/>
              </w:rPr>
              <w:t>35,</w:t>
            </w:r>
            <w:r>
              <w:rPr>
                <w:b/>
                <w:bCs/>
                <w:color w:val="000000"/>
              </w:rPr>
              <w:t>125</w:t>
            </w:r>
            <w:r w:rsidR="0033480F" w:rsidRPr="007C7AB1">
              <w:rPr>
                <w:b/>
                <w:bCs/>
                <w:color w:val="000000"/>
              </w:rPr>
              <w:t xml:space="preserve"> </w:t>
            </w:r>
          </w:p>
        </w:tc>
      </w:tr>
    </w:tbl>
    <w:p w:rsidR="0033480F" w:rsidRPr="007C7AB1" w:rsidRDefault="0033480F" w:rsidP="0033480F">
      <w:pPr>
        <w:pStyle w:val="xl27"/>
        <w:jc w:val="center"/>
        <w:rPr>
          <w:rFonts w:ascii="Times New Roman" w:hAnsi="Times New Roman"/>
        </w:rPr>
      </w:pPr>
    </w:p>
    <w:tbl>
      <w:tblPr>
        <w:tblW w:w="8385" w:type="dxa"/>
        <w:tblInd w:w="93" w:type="dxa"/>
        <w:tblLayout w:type="fixed"/>
        <w:tblLook w:val="04A0" w:firstRow="1" w:lastRow="0" w:firstColumn="1" w:lastColumn="0" w:noHBand="0" w:noVBand="1"/>
      </w:tblPr>
      <w:tblGrid>
        <w:gridCol w:w="4875"/>
        <w:gridCol w:w="1440"/>
        <w:gridCol w:w="720"/>
        <w:gridCol w:w="1350"/>
      </w:tblGrid>
      <w:tr w:rsidR="0033480F" w:rsidRPr="007C7AB1" w:rsidTr="002E0440">
        <w:trPr>
          <w:trHeight w:val="350"/>
        </w:trPr>
        <w:tc>
          <w:tcPr>
            <w:tcW w:w="4875" w:type="dxa"/>
            <w:tcBorders>
              <w:top w:val="single" w:sz="4" w:space="0" w:color="auto"/>
              <w:left w:val="single" w:sz="4" w:space="0" w:color="auto"/>
              <w:bottom w:val="single" w:sz="4" w:space="0" w:color="auto"/>
              <w:right w:val="single" w:sz="4" w:space="0" w:color="auto"/>
            </w:tcBorders>
            <w:shd w:val="clear" w:color="auto" w:fill="auto"/>
            <w:noWrap/>
            <w:hideMark/>
          </w:tcPr>
          <w:p w:rsidR="0033480F" w:rsidRPr="007C7AB1" w:rsidRDefault="0033480F" w:rsidP="002E0440">
            <w:pPr>
              <w:rPr>
                <w:b/>
                <w:bCs/>
                <w:color w:val="000000"/>
              </w:rPr>
            </w:pPr>
            <w:r w:rsidRPr="007C7AB1">
              <w:rPr>
                <w:b/>
                <w:bCs/>
                <w:color w:val="000000"/>
              </w:rPr>
              <w:t>Mandatory, Indefinite Authority Total</w:t>
            </w:r>
          </w:p>
        </w:tc>
        <w:tc>
          <w:tcPr>
            <w:tcW w:w="1440" w:type="dxa"/>
            <w:tcBorders>
              <w:top w:val="single" w:sz="4" w:space="0" w:color="auto"/>
              <w:left w:val="nil"/>
              <w:bottom w:val="single" w:sz="4" w:space="0" w:color="auto"/>
              <w:right w:val="single" w:sz="4" w:space="0" w:color="auto"/>
            </w:tcBorders>
            <w:shd w:val="clear" w:color="auto" w:fill="auto"/>
            <w:hideMark/>
          </w:tcPr>
          <w:p w:rsidR="0033480F" w:rsidRPr="007C7AB1" w:rsidRDefault="0033480F" w:rsidP="002E0440">
            <w:pPr>
              <w:rPr>
                <w:b/>
                <w:bCs/>
                <w:color w:val="000000"/>
              </w:rPr>
            </w:pPr>
            <w:r w:rsidRPr="007C7AB1">
              <w:rPr>
                <w:b/>
                <w:bCs/>
                <w:color w:val="000000"/>
              </w:rPr>
              <w:t>Perm. Pos.</w:t>
            </w:r>
          </w:p>
        </w:tc>
        <w:tc>
          <w:tcPr>
            <w:tcW w:w="720" w:type="dxa"/>
            <w:tcBorders>
              <w:top w:val="single" w:sz="4" w:space="0" w:color="auto"/>
              <w:left w:val="nil"/>
              <w:bottom w:val="single" w:sz="4" w:space="0" w:color="auto"/>
              <w:right w:val="single" w:sz="4" w:space="0" w:color="auto"/>
            </w:tcBorders>
            <w:shd w:val="clear" w:color="auto" w:fill="auto"/>
            <w:noWrap/>
            <w:hideMark/>
          </w:tcPr>
          <w:p w:rsidR="0033480F" w:rsidRPr="007C7AB1" w:rsidRDefault="0033480F" w:rsidP="002E0440">
            <w:pPr>
              <w:rPr>
                <w:b/>
                <w:bCs/>
                <w:color w:val="000000"/>
              </w:rPr>
            </w:pPr>
            <w:r w:rsidRPr="007C7AB1">
              <w:rPr>
                <w:b/>
                <w:bCs/>
                <w:color w:val="000000"/>
              </w:rPr>
              <w:t>FTE</w:t>
            </w:r>
          </w:p>
        </w:tc>
        <w:tc>
          <w:tcPr>
            <w:tcW w:w="1350" w:type="dxa"/>
            <w:tcBorders>
              <w:top w:val="single" w:sz="4" w:space="0" w:color="auto"/>
              <w:left w:val="nil"/>
              <w:bottom w:val="single" w:sz="4" w:space="0" w:color="auto"/>
              <w:right w:val="single" w:sz="4" w:space="0" w:color="auto"/>
            </w:tcBorders>
            <w:shd w:val="clear" w:color="auto" w:fill="auto"/>
            <w:noWrap/>
            <w:hideMark/>
          </w:tcPr>
          <w:p w:rsidR="0033480F" w:rsidRPr="007C7AB1" w:rsidRDefault="0033480F" w:rsidP="002E0440">
            <w:pPr>
              <w:ind w:right="-77"/>
              <w:rPr>
                <w:b/>
                <w:bCs/>
                <w:color w:val="000000"/>
              </w:rPr>
            </w:pPr>
            <w:r w:rsidRPr="007C7AB1">
              <w:rPr>
                <w:b/>
                <w:bCs/>
                <w:color w:val="000000"/>
              </w:rPr>
              <w:t>Amount</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 xml:space="preserve">2012 Enacted </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E278D4" w:rsidP="002E0440">
            <w:pPr>
              <w:jc w:val="right"/>
              <w:rPr>
                <w:color w:val="000000"/>
              </w:rPr>
            </w:pPr>
            <w:r>
              <w:rPr>
                <w:color w:val="000000"/>
              </w:rPr>
              <w:t>4,480,757</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E278D4">
            <w:pPr>
              <w:rPr>
                <w:color w:val="000000"/>
              </w:rPr>
            </w:pPr>
            <w:r w:rsidRPr="007C7AB1">
              <w:rPr>
                <w:color w:val="000000"/>
              </w:rPr>
              <w:t xml:space="preserve">2013 </w:t>
            </w:r>
            <w:r w:rsidR="00E278D4">
              <w:rPr>
                <w:color w:val="000000"/>
              </w:rPr>
              <w:t>Continuing Resolution</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E278D4" w:rsidP="002E0440">
            <w:pPr>
              <w:jc w:val="right"/>
              <w:rPr>
                <w:color w:val="000000"/>
              </w:rPr>
            </w:pPr>
            <w:r>
              <w:rPr>
                <w:color w:val="000000"/>
              </w:rPr>
              <w:t>1,59</w:t>
            </w:r>
            <w:r w:rsidR="007847E3">
              <w:rPr>
                <w:color w:val="000000"/>
              </w:rPr>
              <w:t>1,993</w:t>
            </w:r>
            <w:r w:rsidR="0033480F" w:rsidRPr="007C7AB1">
              <w:rPr>
                <w:color w:val="000000"/>
              </w:rPr>
              <w:t xml:space="preserve">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Adjustments to Base and Technical Adjustments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Current Services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1,556,9</w:t>
            </w:r>
            <w:r w:rsidR="00895919">
              <w:rPr>
                <w:color w:val="000000"/>
              </w:rPr>
              <w:t>9</w:t>
            </w:r>
            <w:r w:rsidRPr="007C7AB1">
              <w:rPr>
                <w:color w:val="000000"/>
              </w:rPr>
              <w:t xml:space="preserve">6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Request</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23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23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1,556,9</w:t>
            </w:r>
            <w:r w:rsidR="00895919">
              <w:rPr>
                <w:color w:val="000000"/>
              </w:rPr>
              <w:t>9</w:t>
            </w:r>
            <w:r w:rsidRPr="007C7AB1">
              <w:rPr>
                <w:color w:val="000000"/>
              </w:rPr>
              <w:t xml:space="preserve">6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000000" w:fill="D8D8D8"/>
            <w:noWrap/>
            <w:vAlign w:val="bottom"/>
            <w:hideMark/>
          </w:tcPr>
          <w:p w:rsidR="0033480F" w:rsidRPr="007C7AB1" w:rsidRDefault="0033480F" w:rsidP="002E0440">
            <w:pPr>
              <w:rPr>
                <w:b/>
                <w:bCs/>
                <w:color w:val="000000"/>
              </w:rPr>
            </w:pPr>
            <w:r w:rsidRPr="007C7AB1">
              <w:rPr>
                <w:b/>
                <w:bCs/>
                <w:color w:val="000000"/>
              </w:rPr>
              <w:t>Total Change 2013-2014</w:t>
            </w:r>
          </w:p>
        </w:tc>
        <w:tc>
          <w:tcPr>
            <w:tcW w:w="144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72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1350" w:type="dxa"/>
            <w:tcBorders>
              <w:top w:val="nil"/>
              <w:left w:val="nil"/>
              <w:bottom w:val="single" w:sz="4" w:space="0" w:color="auto"/>
              <w:right w:val="single" w:sz="4" w:space="0" w:color="auto"/>
            </w:tcBorders>
            <w:shd w:val="clear" w:color="000000" w:fill="D8D8D8"/>
            <w:noWrap/>
            <w:vAlign w:val="bottom"/>
            <w:hideMark/>
          </w:tcPr>
          <w:p w:rsidR="0033480F" w:rsidRPr="007C7AB1" w:rsidRDefault="007847E3" w:rsidP="007847E3">
            <w:pPr>
              <w:jc w:val="right"/>
              <w:rPr>
                <w:b/>
                <w:bCs/>
                <w:color w:val="000000"/>
              </w:rPr>
            </w:pPr>
            <w:r>
              <w:rPr>
                <w:b/>
                <w:bCs/>
                <w:color w:val="000000"/>
              </w:rPr>
              <w:t>-</w:t>
            </w:r>
            <w:r w:rsidR="0033480F" w:rsidRPr="007C7AB1">
              <w:rPr>
                <w:b/>
                <w:bCs/>
                <w:color w:val="000000"/>
              </w:rPr>
              <w:t>34,</w:t>
            </w:r>
            <w:r>
              <w:rPr>
                <w:b/>
                <w:bCs/>
                <w:color w:val="000000"/>
              </w:rPr>
              <w:t>997</w:t>
            </w:r>
          </w:p>
        </w:tc>
      </w:tr>
    </w:tbl>
    <w:p w:rsidR="0033480F" w:rsidRPr="007C7AB1" w:rsidRDefault="0033480F" w:rsidP="0033480F">
      <w:pPr>
        <w:pStyle w:val="xl27"/>
        <w:jc w:val="center"/>
        <w:rPr>
          <w:rFonts w:ascii="Times New Roman" w:hAnsi="Times New Roman"/>
        </w:rPr>
      </w:pPr>
    </w:p>
    <w:tbl>
      <w:tblPr>
        <w:tblW w:w="8385" w:type="dxa"/>
        <w:tblInd w:w="93" w:type="dxa"/>
        <w:tblLayout w:type="fixed"/>
        <w:tblLook w:val="04A0" w:firstRow="1" w:lastRow="0" w:firstColumn="1" w:lastColumn="0" w:noHBand="0" w:noVBand="1"/>
      </w:tblPr>
      <w:tblGrid>
        <w:gridCol w:w="4875"/>
        <w:gridCol w:w="1440"/>
        <w:gridCol w:w="720"/>
        <w:gridCol w:w="1350"/>
      </w:tblGrid>
      <w:tr w:rsidR="0033480F" w:rsidRPr="007C7AB1" w:rsidTr="002E0440">
        <w:trPr>
          <w:trHeight w:val="305"/>
        </w:trPr>
        <w:tc>
          <w:tcPr>
            <w:tcW w:w="4875" w:type="dxa"/>
            <w:tcBorders>
              <w:top w:val="single" w:sz="4" w:space="0" w:color="auto"/>
              <w:left w:val="single" w:sz="4" w:space="0" w:color="auto"/>
              <w:bottom w:val="single" w:sz="4" w:space="0" w:color="auto"/>
              <w:right w:val="single" w:sz="4" w:space="0" w:color="auto"/>
            </w:tcBorders>
            <w:shd w:val="clear" w:color="auto" w:fill="auto"/>
            <w:noWrap/>
            <w:hideMark/>
          </w:tcPr>
          <w:p w:rsidR="0033480F" w:rsidRPr="007C7AB1" w:rsidRDefault="0033480F" w:rsidP="002E0440">
            <w:pPr>
              <w:rPr>
                <w:b/>
                <w:bCs/>
                <w:color w:val="000000"/>
              </w:rPr>
            </w:pPr>
            <w:r w:rsidRPr="007C7AB1">
              <w:rPr>
                <w:b/>
                <w:bCs/>
                <w:color w:val="000000"/>
              </w:rPr>
              <w:t>Appropriated, Definite Authority Total</w:t>
            </w:r>
          </w:p>
        </w:tc>
        <w:tc>
          <w:tcPr>
            <w:tcW w:w="1440" w:type="dxa"/>
            <w:tcBorders>
              <w:top w:val="single" w:sz="4" w:space="0" w:color="auto"/>
              <w:left w:val="nil"/>
              <w:bottom w:val="single" w:sz="4" w:space="0" w:color="auto"/>
              <w:right w:val="single" w:sz="4" w:space="0" w:color="auto"/>
            </w:tcBorders>
            <w:shd w:val="clear" w:color="auto" w:fill="auto"/>
            <w:hideMark/>
          </w:tcPr>
          <w:p w:rsidR="0033480F" w:rsidRPr="007C7AB1" w:rsidRDefault="0033480F" w:rsidP="002E0440">
            <w:pPr>
              <w:rPr>
                <w:b/>
                <w:bCs/>
                <w:color w:val="000000"/>
              </w:rPr>
            </w:pPr>
            <w:r w:rsidRPr="007C7AB1">
              <w:rPr>
                <w:b/>
                <w:bCs/>
                <w:color w:val="000000"/>
              </w:rPr>
              <w:t>Perm. Pos.</w:t>
            </w:r>
          </w:p>
        </w:tc>
        <w:tc>
          <w:tcPr>
            <w:tcW w:w="720" w:type="dxa"/>
            <w:tcBorders>
              <w:top w:val="single" w:sz="4" w:space="0" w:color="auto"/>
              <w:left w:val="nil"/>
              <w:bottom w:val="single" w:sz="4" w:space="0" w:color="auto"/>
              <w:right w:val="single" w:sz="4" w:space="0" w:color="auto"/>
            </w:tcBorders>
            <w:shd w:val="clear" w:color="auto" w:fill="auto"/>
            <w:noWrap/>
            <w:hideMark/>
          </w:tcPr>
          <w:p w:rsidR="0033480F" w:rsidRPr="007C7AB1" w:rsidRDefault="0033480F" w:rsidP="002E0440">
            <w:pPr>
              <w:rPr>
                <w:b/>
                <w:bCs/>
                <w:color w:val="000000"/>
              </w:rPr>
            </w:pPr>
            <w:r w:rsidRPr="007C7AB1">
              <w:rPr>
                <w:b/>
                <w:bCs/>
                <w:color w:val="000000"/>
              </w:rPr>
              <w:t>FTE</w:t>
            </w:r>
          </w:p>
        </w:tc>
        <w:tc>
          <w:tcPr>
            <w:tcW w:w="1350" w:type="dxa"/>
            <w:tcBorders>
              <w:top w:val="single" w:sz="4" w:space="0" w:color="auto"/>
              <w:left w:val="nil"/>
              <w:bottom w:val="single" w:sz="4" w:space="0" w:color="auto"/>
              <w:right w:val="single" w:sz="4" w:space="0" w:color="auto"/>
            </w:tcBorders>
            <w:shd w:val="clear" w:color="auto" w:fill="auto"/>
            <w:noWrap/>
            <w:hideMark/>
          </w:tcPr>
          <w:p w:rsidR="0033480F" w:rsidRPr="007C7AB1" w:rsidRDefault="0033480F" w:rsidP="002E0440">
            <w:pPr>
              <w:rPr>
                <w:b/>
                <w:bCs/>
                <w:color w:val="000000"/>
              </w:rPr>
            </w:pPr>
            <w:r w:rsidRPr="007C7AB1">
              <w:rPr>
                <w:b/>
                <w:bCs/>
                <w:color w:val="000000"/>
              </w:rPr>
              <w:t>Amount</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 xml:space="preserve">2012 Enacted </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20,948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 xml:space="preserve">2013 </w:t>
            </w:r>
            <w:r w:rsidR="00E278D4">
              <w:rPr>
                <w:color w:val="000000"/>
              </w:rPr>
              <w:t>Continuing Resolution</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2</w:t>
            </w:r>
            <w:r w:rsidR="00E278D4">
              <w:rPr>
                <w:color w:val="000000"/>
              </w:rPr>
              <w:t>1,076</w:t>
            </w:r>
            <w:r w:rsidRPr="007C7AB1">
              <w:rPr>
                <w:color w:val="000000"/>
              </w:rPr>
              <w:t xml:space="preserve">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Adjustments to Base and Technical Adjustments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Current Services</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20,948 </w:t>
            </w:r>
          </w:p>
        </w:tc>
      </w:tr>
      <w:tr w:rsidR="0033480F" w:rsidRPr="007C7AB1" w:rsidTr="002E0440">
        <w:trPr>
          <w:trHeight w:val="315"/>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33480F" w:rsidRPr="007C7AB1" w:rsidRDefault="0033480F" w:rsidP="002E0440">
            <w:pPr>
              <w:rPr>
                <w:color w:val="000000"/>
              </w:rPr>
            </w:pPr>
            <w:r w:rsidRPr="007C7AB1">
              <w:rPr>
                <w:color w:val="000000"/>
              </w:rPr>
              <w:t>2014 Request</w:t>
            </w:r>
          </w:p>
        </w:tc>
        <w:tc>
          <w:tcPr>
            <w:tcW w:w="1440" w:type="dxa"/>
            <w:tcBorders>
              <w:top w:val="nil"/>
              <w:left w:val="nil"/>
              <w:bottom w:val="single" w:sz="4" w:space="0" w:color="auto"/>
              <w:right w:val="single" w:sz="4" w:space="0" w:color="auto"/>
            </w:tcBorders>
            <w:shd w:val="clear" w:color="auto" w:fill="auto"/>
            <w:vAlign w:val="bottom"/>
            <w:hideMark/>
          </w:tcPr>
          <w:p w:rsidR="0033480F" w:rsidRPr="007C7AB1" w:rsidRDefault="0033480F" w:rsidP="002E0440">
            <w:pPr>
              <w:jc w:val="right"/>
              <w:rPr>
                <w:color w:val="000000"/>
              </w:rPr>
            </w:pPr>
            <w:r w:rsidRPr="007C7AB1">
              <w:rPr>
                <w:color w:val="000000"/>
              </w:rPr>
              <w:t xml:space="preserve">0 </w:t>
            </w:r>
          </w:p>
        </w:tc>
        <w:tc>
          <w:tcPr>
            <w:tcW w:w="72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33480F" w:rsidRPr="007C7AB1" w:rsidRDefault="0033480F" w:rsidP="002E0440">
            <w:pPr>
              <w:jc w:val="right"/>
              <w:rPr>
                <w:color w:val="000000"/>
              </w:rPr>
            </w:pPr>
            <w:r w:rsidRPr="007C7AB1">
              <w:rPr>
                <w:color w:val="000000"/>
              </w:rPr>
              <w:t xml:space="preserve">20,948 </w:t>
            </w:r>
          </w:p>
        </w:tc>
      </w:tr>
      <w:tr w:rsidR="0033480F" w:rsidRPr="00273F14" w:rsidTr="002E0440">
        <w:trPr>
          <w:trHeight w:val="315"/>
        </w:trPr>
        <w:tc>
          <w:tcPr>
            <w:tcW w:w="4875" w:type="dxa"/>
            <w:tcBorders>
              <w:top w:val="nil"/>
              <w:left w:val="single" w:sz="4" w:space="0" w:color="auto"/>
              <w:bottom w:val="single" w:sz="4" w:space="0" w:color="auto"/>
              <w:right w:val="single" w:sz="4" w:space="0" w:color="auto"/>
            </w:tcBorders>
            <w:shd w:val="clear" w:color="000000" w:fill="D8D8D8"/>
            <w:noWrap/>
            <w:vAlign w:val="bottom"/>
            <w:hideMark/>
          </w:tcPr>
          <w:p w:rsidR="0033480F" w:rsidRPr="007C7AB1" w:rsidRDefault="0033480F" w:rsidP="002E0440">
            <w:pPr>
              <w:rPr>
                <w:b/>
                <w:bCs/>
                <w:color w:val="000000"/>
              </w:rPr>
            </w:pPr>
            <w:r w:rsidRPr="007C7AB1">
              <w:rPr>
                <w:b/>
                <w:bCs/>
                <w:color w:val="000000"/>
              </w:rPr>
              <w:t>Total Change 2013-2014</w:t>
            </w:r>
          </w:p>
        </w:tc>
        <w:tc>
          <w:tcPr>
            <w:tcW w:w="144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720" w:type="dxa"/>
            <w:tcBorders>
              <w:top w:val="nil"/>
              <w:left w:val="nil"/>
              <w:bottom w:val="single" w:sz="4" w:space="0" w:color="auto"/>
              <w:right w:val="single" w:sz="4" w:space="0" w:color="auto"/>
            </w:tcBorders>
            <w:shd w:val="clear" w:color="000000" w:fill="D8D8D8"/>
            <w:noWrap/>
            <w:vAlign w:val="bottom"/>
            <w:hideMark/>
          </w:tcPr>
          <w:p w:rsidR="0033480F" w:rsidRPr="007C7AB1" w:rsidRDefault="0033480F" w:rsidP="002E0440">
            <w:pPr>
              <w:jc w:val="right"/>
              <w:rPr>
                <w:b/>
                <w:bCs/>
                <w:color w:val="000000"/>
              </w:rPr>
            </w:pPr>
            <w:r w:rsidRPr="007C7AB1">
              <w:rPr>
                <w:b/>
                <w:bCs/>
                <w:color w:val="000000"/>
              </w:rPr>
              <w:t xml:space="preserve">0 </w:t>
            </w:r>
          </w:p>
        </w:tc>
        <w:tc>
          <w:tcPr>
            <w:tcW w:w="1350" w:type="dxa"/>
            <w:tcBorders>
              <w:top w:val="nil"/>
              <w:left w:val="nil"/>
              <w:bottom w:val="single" w:sz="4" w:space="0" w:color="auto"/>
              <w:right w:val="single" w:sz="4" w:space="0" w:color="auto"/>
            </w:tcBorders>
            <w:shd w:val="clear" w:color="000000" w:fill="D8D8D8"/>
            <w:noWrap/>
            <w:vAlign w:val="bottom"/>
            <w:hideMark/>
          </w:tcPr>
          <w:p w:rsidR="0033480F" w:rsidRPr="007C7AB1" w:rsidRDefault="007847E3" w:rsidP="002E0440">
            <w:pPr>
              <w:jc w:val="right"/>
              <w:rPr>
                <w:b/>
                <w:bCs/>
                <w:color w:val="000000"/>
              </w:rPr>
            </w:pPr>
            <w:r>
              <w:rPr>
                <w:b/>
                <w:bCs/>
                <w:color w:val="000000"/>
              </w:rPr>
              <w:t>-128</w:t>
            </w:r>
            <w:r w:rsidR="0033480F" w:rsidRPr="007C7AB1">
              <w:rPr>
                <w:b/>
                <w:bCs/>
                <w:color w:val="000000"/>
              </w:rPr>
              <w:t xml:space="preserve"> </w:t>
            </w:r>
          </w:p>
        </w:tc>
      </w:tr>
    </w:tbl>
    <w:p w:rsidR="0033480F" w:rsidRPr="00273F14" w:rsidRDefault="0033480F" w:rsidP="0033480F">
      <w:pPr>
        <w:pStyle w:val="xl27"/>
        <w:jc w:val="center"/>
        <w:rPr>
          <w:rFonts w:ascii="Times New Roman" w:hAnsi="Times New Roman"/>
        </w:rPr>
      </w:pPr>
    </w:p>
    <w:p w:rsidR="0033480F" w:rsidRPr="00273F14" w:rsidRDefault="0033480F" w:rsidP="0033480F">
      <w:pPr>
        <w:pStyle w:val="xl27"/>
        <w:keepNext/>
        <w:rPr>
          <w:rFonts w:ascii="Times New Roman" w:hAnsi="Times New Roman"/>
        </w:rPr>
      </w:pPr>
      <w:r w:rsidRPr="00273F14">
        <w:rPr>
          <w:rFonts w:ascii="Times New Roman" w:hAnsi="Times New Roman"/>
        </w:rPr>
        <w:br w:type="page"/>
      </w:r>
    </w:p>
    <w:p w:rsidR="00E2771C" w:rsidRDefault="00E2771C" w:rsidP="00E2771C">
      <w:pPr>
        <w:pStyle w:val="xl27"/>
        <w:keepNext/>
        <w:rPr>
          <w:rFonts w:ascii="Times New Roman" w:hAnsi="Times New Roman"/>
        </w:rPr>
      </w:pPr>
      <w:r>
        <w:rPr>
          <w:rFonts w:ascii="Times New Roman" w:hAnsi="Times New Roman"/>
        </w:rPr>
        <w:lastRenderedPageBreak/>
        <w:t>IV. FY 2013 Asset Forfeiture Program Estimates</w:t>
      </w:r>
    </w:p>
    <w:p w:rsidR="00E2771C" w:rsidRDefault="00E2771C" w:rsidP="00E2771C">
      <w:pPr>
        <w:pStyle w:val="xl27"/>
        <w:jc w:val="center"/>
        <w:rPr>
          <w:rFonts w:ascii="Times New Roman" w:hAnsi="Times New Roman"/>
        </w:rPr>
      </w:pPr>
    </w:p>
    <w:p w:rsidR="00E2771C" w:rsidRDefault="00E2771C" w:rsidP="00E2771C">
      <w:pPr>
        <w:pStyle w:val="xl27"/>
        <w:jc w:val="center"/>
        <w:rPr>
          <w:rFonts w:ascii="Times New Roman" w:hAnsi="Times New Roman"/>
        </w:rPr>
      </w:pPr>
      <w:r>
        <w:rPr>
          <w:rFonts w:ascii="Times New Roman" w:hAnsi="Times New Roman"/>
        </w:rPr>
        <w:t xml:space="preserve">Asset Forfeiture </w:t>
      </w:r>
      <w:r w:rsidR="00AE713A">
        <w:rPr>
          <w:rFonts w:ascii="Times New Roman" w:hAnsi="Times New Roman"/>
        </w:rPr>
        <w:t>Program</w:t>
      </w:r>
    </w:p>
    <w:p w:rsidR="00E2771C" w:rsidRDefault="00E2771C" w:rsidP="00E2771C">
      <w:pPr>
        <w:pStyle w:val="xl27"/>
        <w:numPr>
          <w:ilvl w:val="0"/>
          <w:numId w:val="29"/>
        </w:numPr>
        <w:jc w:val="center"/>
        <w:rPr>
          <w:rFonts w:ascii="Times New Roman" w:hAnsi="Times New Roman"/>
        </w:rPr>
      </w:pPr>
      <w:r>
        <w:rPr>
          <w:rFonts w:ascii="Times New Roman" w:hAnsi="Times New Roman"/>
        </w:rPr>
        <w:t>Summary of Requirements by Financing</w:t>
      </w:r>
    </w:p>
    <w:p w:rsidR="00E2771C" w:rsidRDefault="00E2771C" w:rsidP="00E2771C">
      <w:pPr>
        <w:pStyle w:val="xl27"/>
        <w:jc w:val="center"/>
        <w:rPr>
          <w:rFonts w:ascii="Times New Roman" w:hAnsi="Times New Roman"/>
        </w:rPr>
      </w:pPr>
      <w:r>
        <w:rPr>
          <w:rFonts w:ascii="Times New Roman" w:hAnsi="Times New Roman"/>
        </w:rPr>
        <w:t>(Dollars in Thousands)</w:t>
      </w:r>
    </w:p>
    <w:tbl>
      <w:tblPr>
        <w:tblW w:w="10850" w:type="dxa"/>
        <w:tblInd w:w="-522" w:type="dxa"/>
        <w:tblLook w:val="04A0" w:firstRow="1" w:lastRow="0" w:firstColumn="1" w:lastColumn="0" w:noHBand="0" w:noVBand="1"/>
      </w:tblPr>
      <w:tblGrid>
        <w:gridCol w:w="4950"/>
        <w:gridCol w:w="1460"/>
        <w:gridCol w:w="1460"/>
        <w:gridCol w:w="1500"/>
        <w:gridCol w:w="1480"/>
      </w:tblGrid>
      <w:tr w:rsidR="00E2771C" w:rsidTr="00E2771C">
        <w:trPr>
          <w:trHeight w:val="765"/>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u w:val="single"/>
              </w:rPr>
            </w:pPr>
            <w:r>
              <w:rPr>
                <w:b/>
                <w:bCs/>
                <w:sz w:val="20"/>
                <w:szCs w:val="20"/>
                <w:u w:val="single"/>
              </w:rPr>
              <w:t>Financing</w:t>
            </w:r>
          </w:p>
        </w:tc>
        <w:tc>
          <w:tcPr>
            <w:tcW w:w="1460" w:type="dxa"/>
            <w:tcBorders>
              <w:top w:val="nil"/>
              <w:left w:val="nil"/>
              <w:bottom w:val="nil"/>
              <w:right w:val="nil"/>
            </w:tcBorders>
            <w:shd w:val="clear" w:color="auto" w:fill="auto"/>
            <w:vAlign w:val="bottom"/>
            <w:hideMark/>
          </w:tcPr>
          <w:p w:rsidR="00E2771C" w:rsidRDefault="00E2771C" w:rsidP="00E2771C">
            <w:pPr>
              <w:jc w:val="right"/>
            </w:pPr>
            <w:r>
              <w:t>FY 2012 Actual</w:t>
            </w:r>
          </w:p>
        </w:tc>
        <w:tc>
          <w:tcPr>
            <w:tcW w:w="1460" w:type="dxa"/>
            <w:tcBorders>
              <w:top w:val="nil"/>
              <w:left w:val="nil"/>
              <w:bottom w:val="nil"/>
              <w:right w:val="nil"/>
            </w:tcBorders>
            <w:shd w:val="clear" w:color="auto" w:fill="auto"/>
            <w:vAlign w:val="bottom"/>
            <w:hideMark/>
          </w:tcPr>
          <w:p w:rsidR="00E2771C" w:rsidRDefault="00E2771C" w:rsidP="00E2771C">
            <w:pPr>
              <w:jc w:val="right"/>
            </w:pPr>
            <w:r>
              <w:t>FY 2013 Estimate</w:t>
            </w:r>
          </w:p>
        </w:tc>
        <w:tc>
          <w:tcPr>
            <w:tcW w:w="1500" w:type="dxa"/>
            <w:tcBorders>
              <w:top w:val="nil"/>
              <w:left w:val="nil"/>
              <w:bottom w:val="nil"/>
              <w:right w:val="nil"/>
            </w:tcBorders>
            <w:shd w:val="clear" w:color="auto" w:fill="auto"/>
            <w:vAlign w:val="bottom"/>
            <w:hideMark/>
          </w:tcPr>
          <w:p w:rsidR="00E2771C" w:rsidRDefault="00E2771C" w:rsidP="00E2771C">
            <w:pPr>
              <w:jc w:val="right"/>
            </w:pPr>
            <w:r>
              <w:t>FY 2014 Estimate</w:t>
            </w:r>
          </w:p>
        </w:tc>
        <w:tc>
          <w:tcPr>
            <w:tcW w:w="1480" w:type="dxa"/>
            <w:tcBorders>
              <w:top w:val="nil"/>
              <w:left w:val="nil"/>
              <w:bottom w:val="nil"/>
              <w:right w:val="nil"/>
            </w:tcBorders>
            <w:shd w:val="clear" w:color="auto" w:fill="auto"/>
            <w:vAlign w:val="bottom"/>
            <w:hideMark/>
          </w:tcPr>
          <w:p w:rsidR="00E2771C" w:rsidRDefault="00E2771C" w:rsidP="00E2771C">
            <w:pPr>
              <w:jc w:val="right"/>
              <w:rPr>
                <w:sz w:val="22"/>
                <w:szCs w:val="22"/>
              </w:rPr>
            </w:pPr>
            <w:r>
              <w:rPr>
                <w:sz w:val="22"/>
                <w:szCs w:val="22"/>
              </w:rPr>
              <w:t>2013 - 2014 Total Change</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Unobligated balance of receipts, start-of-year</w:t>
            </w: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Retention of Unobligated Balances to maintain AFF Solvency</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140,398</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145,726</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145,000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-726</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Unavailable unobligated balances; rescissions</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208,791</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Major Equitable Sharing and Third party Payment Reserves</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511,403</w:t>
            </w:r>
          </w:p>
        </w:tc>
        <w:tc>
          <w:tcPr>
            <w:tcW w:w="150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489,060</w:t>
            </w:r>
          </w:p>
        </w:tc>
        <w:tc>
          <w:tcPr>
            <w:tcW w:w="148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-22,343</w:t>
            </w:r>
          </w:p>
        </w:tc>
      </w:tr>
      <w:tr w:rsidR="00E2771C" w:rsidTr="00E2771C">
        <w:trPr>
          <w:trHeight w:val="42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Unappropriated balance of receipts, start-of-year</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1,024,189</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657,129</w:t>
            </w:r>
          </w:p>
        </w:tc>
        <w:tc>
          <w:tcPr>
            <w:tcW w:w="150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634,060</w:t>
            </w:r>
          </w:p>
        </w:tc>
        <w:tc>
          <w:tcPr>
            <w:tcW w:w="148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-23,069</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jc w:val="right"/>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Collections/deposits/receipts/recoveries:</w:t>
            </w: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Receipts</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4,228,851</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1,520,000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1,520,000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Prior year rescissions restored</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495,000</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Recovery/Refunds of prior year obligations</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85,794</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70,000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70,000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Current year rescissions </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Proposed rescission - Temporary</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0</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50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-675,000</w:t>
            </w:r>
          </w:p>
        </w:tc>
        <w:tc>
          <w:tcPr>
            <w:tcW w:w="148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9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Collections/deposits/receipts/recoveries:</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4,134,645</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1,590,000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1,590,000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Total resources available</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5,158,834</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2,247,129</w:t>
            </w:r>
          </w:p>
        </w:tc>
        <w:tc>
          <w:tcPr>
            <w:tcW w:w="150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2,224,060</w:t>
            </w:r>
          </w:p>
        </w:tc>
        <w:tc>
          <w:tcPr>
            <w:tcW w:w="148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-23,069</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jc w:val="right"/>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 xml:space="preserve">Less:  Unappropriated balance of receipts, end-of-year </w:t>
            </w: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Retention of Unobligated Balances to maintain AFF Solvency</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-145,726</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-145,000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-145,000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Unavailable unobligated balances</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4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50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c>
          <w:tcPr>
            <w:tcW w:w="148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00"/>
        </w:trPr>
        <w:tc>
          <w:tcPr>
            <w:tcW w:w="495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Major Equitable Sharing &amp; Third Party Payments</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-511,403</w:t>
            </w:r>
          </w:p>
        </w:tc>
        <w:tc>
          <w:tcPr>
            <w:tcW w:w="146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-489,060</w:t>
            </w:r>
          </w:p>
        </w:tc>
        <w:tc>
          <w:tcPr>
            <w:tcW w:w="150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-501,116</w:t>
            </w:r>
          </w:p>
        </w:tc>
        <w:tc>
          <w:tcPr>
            <w:tcW w:w="1480" w:type="dxa"/>
            <w:tcBorders>
              <w:top w:val="nil"/>
              <w:left w:val="nil"/>
              <w:bottom w:val="single" w:sz="4" w:space="0" w:color="auto"/>
              <w:right w:val="nil"/>
            </w:tcBorders>
            <w:shd w:val="clear" w:color="auto" w:fill="auto"/>
            <w:noWrap/>
            <w:vAlign w:val="bottom"/>
            <w:hideMark/>
          </w:tcPr>
          <w:p w:rsidR="00E2771C" w:rsidRDefault="00E2771C">
            <w:pPr>
              <w:jc w:val="right"/>
              <w:rPr>
                <w:sz w:val="20"/>
                <w:szCs w:val="20"/>
              </w:rPr>
            </w:pPr>
            <w:r>
              <w:rPr>
                <w:sz w:val="20"/>
                <w:szCs w:val="20"/>
              </w:rPr>
              <w:t>-12,056</w:t>
            </w:r>
          </w:p>
        </w:tc>
      </w:tr>
      <w:tr w:rsidR="00E2771C" w:rsidTr="00E2771C">
        <w:trPr>
          <w:trHeight w:val="36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Unappropriated balance of receipts, end-of-year</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-657,129</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-634,060</w:t>
            </w:r>
          </w:p>
        </w:tc>
        <w:tc>
          <w:tcPr>
            <w:tcW w:w="150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-646,116</w:t>
            </w:r>
          </w:p>
        </w:tc>
        <w:tc>
          <w:tcPr>
            <w:tcW w:w="148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-12,056</w:t>
            </w:r>
          </w:p>
        </w:tc>
      </w:tr>
      <w:tr w:rsidR="00E2771C" w:rsidTr="00E2771C">
        <w:trPr>
          <w:trHeight w:val="255"/>
        </w:trPr>
        <w:tc>
          <w:tcPr>
            <w:tcW w:w="4950" w:type="dxa"/>
            <w:tcBorders>
              <w:top w:val="nil"/>
              <w:left w:val="nil"/>
              <w:bottom w:val="nil"/>
              <w:right w:val="nil"/>
            </w:tcBorders>
            <w:shd w:val="clear" w:color="auto" w:fill="auto"/>
            <w:noWrap/>
            <w:vAlign w:val="bottom"/>
            <w:hideMark/>
          </w:tcPr>
          <w:p w:rsidR="00E2771C" w:rsidRDefault="00E2771C">
            <w:pPr>
              <w:jc w:val="right"/>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6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500" w:type="dxa"/>
            <w:tcBorders>
              <w:top w:val="nil"/>
              <w:left w:val="nil"/>
              <w:bottom w:val="nil"/>
              <w:right w:val="nil"/>
            </w:tcBorders>
            <w:shd w:val="clear" w:color="auto" w:fill="auto"/>
            <w:noWrap/>
            <w:vAlign w:val="bottom"/>
            <w:hideMark/>
          </w:tcPr>
          <w:p w:rsidR="00E2771C" w:rsidRDefault="00E2771C">
            <w:pPr>
              <w:rPr>
                <w:i/>
                <w:iCs/>
                <w:sz w:val="20"/>
                <w:szCs w:val="20"/>
              </w:rPr>
            </w:pPr>
          </w:p>
        </w:tc>
        <w:tc>
          <w:tcPr>
            <w:tcW w:w="148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270"/>
        </w:trPr>
        <w:tc>
          <w:tcPr>
            <w:tcW w:w="495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Total obligations</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4,501,705</w:t>
            </w:r>
          </w:p>
        </w:tc>
        <w:tc>
          <w:tcPr>
            <w:tcW w:w="14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1,613,069</w:t>
            </w:r>
          </w:p>
        </w:tc>
        <w:tc>
          <w:tcPr>
            <w:tcW w:w="150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1,577,944</w:t>
            </w:r>
          </w:p>
        </w:tc>
        <w:tc>
          <w:tcPr>
            <w:tcW w:w="148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-35,125</w:t>
            </w:r>
          </w:p>
        </w:tc>
      </w:tr>
    </w:tbl>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33480F">
      <w:pPr>
        <w:pStyle w:val="xl27"/>
        <w:rPr>
          <w:rFonts w:ascii="Times New Roman" w:hAnsi="Times New Roman"/>
        </w:rPr>
      </w:pPr>
    </w:p>
    <w:p w:rsidR="00E2771C" w:rsidRDefault="00E2771C" w:rsidP="00E2771C">
      <w:pPr>
        <w:pStyle w:val="xl27"/>
        <w:jc w:val="center"/>
        <w:rPr>
          <w:rFonts w:ascii="Times New Roman" w:hAnsi="Times New Roman"/>
        </w:rPr>
      </w:pPr>
    </w:p>
    <w:p w:rsidR="00E2771C" w:rsidRDefault="00E2771C" w:rsidP="00E2771C">
      <w:pPr>
        <w:pStyle w:val="xl27"/>
        <w:jc w:val="center"/>
        <w:rPr>
          <w:rFonts w:ascii="Times New Roman" w:hAnsi="Times New Roman"/>
        </w:rPr>
      </w:pPr>
      <w:r>
        <w:rPr>
          <w:rFonts w:ascii="Times New Roman" w:hAnsi="Times New Roman"/>
        </w:rPr>
        <w:lastRenderedPageBreak/>
        <w:t xml:space="preserve">Asset Forfeiture </w:t>
      </w:r>
      <w:r w:rsidR="00AE713A">
        <w:rPr>
          <w:rFonts w:ascii="Times New Roman" w:hAnsi="Times New Roman"/>
        </w:rPr>
        <w:t>Program</w:t>
      </w:r>
    </w:p>
    <w:p w:rsidR="00E2771C" w:rsidRDefault="00E2771C" w:rsidP="00E2771C">
      <w:pPr>
        <w:pStyle w:val="xl27"/>
        <w:numPr>
          <w:ilvl w:val="0"/>
          <w:numId w:val="29"/>
        </w:numPr>
        <w:jc w:val="center"/>
        <w:rPr>
          <w:rFonts w:ascii="Times New Roman" w:hAnsi="Times New Roman"/>
        </w:rPr>
      </w:pPr>
      <w:r>
        <w:rPr>
          <w:rFonts w:ascii="Times New Roman" w:hAnsi="Times New Roman"/>
        </w:rPr>
        <w:t>Obligations by Type of Expense</w:t>
      </w:r>
    </w:p>
    <w:p w:rsidR="00E2771C" w:rsidRDefault="00E2771C" w:rsidP="00E2771C">
      <w:pPr>
        <w:pStyle w:val="xl27"/>
        <w:jc w:val="center"/>
        <w:rPr>
          <w:rFonts w:ascii="Times New Roman" w:hAnsi="Times New Roman"/>
        </w:rPr>
      </w:pPr>
      <w:r>
        <w:rPr>
          <w:rFonts w:ascii="Times New Roman" w:hAnsi="Times New Roman"/>
        </w:rPr>
        <w:t>(Dollars in Thousands)</w:t>
      </w:r>
    </w:p>
    <w:tbl>
      <w:tblPr>
        <w:tblW w:w="10280" w:type="dxa"/>
        <w:tblInd w:w="-342" w:type="dxa"/>
        <w:tblLook w:val="04A0" w:firstRow="1" w:lastRow="0" w:firstColumn="1" w:lastColumn="0" w:noHBand="0" w:noVBand="1"/>
      </w:tblPr>
      <w:tblGrid>
        <w:gridCol w:w="4540"/>
        <w:gridCol w:w="1520"/>
        <w:gridCol w:w="1560"/>
        <w:gridCol w:w="1320"/>
        <w:gridCol w:w="1340"/>
      </w:tblGrid>
      <w:tr w:rsidR="00E2771C" w:rsidTr="00E2771C">
        <w:trPr>
          <w:trHeight w:val="870"/>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vAlign w:val="bottom"/>
            <w:hideMark/>
          </w:tcPr>
          <w:p w:rsidR="00E2771C" w:rsidRDefault="00E2771C" w:rsidP="00E2771C">
            <w:pPr>
              <w:jc w:val="right"/>
            </w:pPr>
            <w:r>
              <w:t>FY 2012 Actual</w:t>
            </w:r>
          </w:p>
        </w:tc>
        <w:tc>
          <w:tcPr>
            <w:tcW w:w="1560" w:type="dxa"/>
            <w:tcBorders>
              <w:top w:val="nil"/>
              <w:left w:val="nil"/>
              <w:bottom w:val="nil"/>
              <w:right w:val="nil"/>
            </w:tcBorders>
            <w:shd w:val="clear" w:color="auto" w:fill="auto"/>
            <w:vAlign w:val="bottom"/>
            <w:hideMark/>
          </w:tcPr>
          <w:p w:rsidR="00E2771C" w:rsidRDefault="00E2771C" w:rsidP="00E2771C">
            <w:pPr>
              <w:jc w:val="right"/>
            </w:pPr>
            <w:r>
              <w:t>FY 2013 Estimate</w:t>
            </w:r>
          </w:p>
        </w:tc>
        <w:tc>
          <w:tcPr>
            <w:tcW w:w="1320" w:type="dxa"/>
            <w:tcBorders>
              <w:top w:val="nil"/>
              <w:left w:val="nil"/>
              <w:bottom w:val="nil"/>
              <w:right w:val="nil"/>
            </w:tcBorders>
            <w:shd w:val="clear" w:color="auto" w:fill="auto"/>
            <w:vAlign w:val="bottom"/>
            <w:hideMark/>
          </w:tcPr>
          <w:p w:rsidR="00E2771C" w:rsidRDefault="00E2771C" w:rsidP="00E2771C">
            <w:pPr>
              <w:jc w:val="right"/>
            </w:pPr>
            <w:r>
              <w:t>FY 2014 Estimate</w:t>
            </w:r>
          </w:p>
        </w:tc>
        <w:tc>
          <w:tcPr>
            <w:tcW w:w="1340" w:type="dxa"/>
            <w:tcBorders>
              <w:top w:val="nil"/>
              <w:left w:val="nil"/>
              <w:bottom w:val="nil"/>
              <w:right w:val="nil"/>
            </w:tcBorders>
            <w:shd w:val="clear" w:color="auto" w:fill="auto"/>
            <w:vAlign w:val="bottom"/>
            <w:hideMark/>
          </w:tcPr>
          <w:p w:rsidR="00E2771C" w:rsidRPr="00E2771C" w:rsidRDefault="00E2771C" w:rsidP="00E2771C">
            <w:pPr>
              <w:jc w:val="right"/>
              <w:rPr>
                <w:sz w:val="20"/>
                <w:szCs w:val="20"/>
              </w:rPr>
            </w:pPr>
            <w:r w:rsidRPr="00E2771C">
              <w:rPr>
                <w:sz w:val="20"/>
                <w:szCs w:val="20"/>
              </w:rPr>
              <w:t>2013 - 2014 Total Change</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i/>
                <w:iCs/>
                <w:sz w:val="20"/>
                <w:szCs w:val="20"/>
              </w:rPr>
            </w:pPr>
            <w:r>
              <w:rPr>
                <w:b/>
                <w:bCs/>
                <w:i/>
                <w:iCs/>
                <w:sz w:val="20"/>
                <w:szCs w:val="20"/>
              </w:rPr>
              <w:t>Mandatory expenses:  (indefinite authority)</w:t>
            </w: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 xml:space="preserve">     Case support expenses:</w:t>
            </w: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Asset Management and Disposal </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74,699</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90,400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90,400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Third Party Payments</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3,003,981</w:t>
            </w:r>
          </w:p>
        </w:tc>
        <w:tc>
          <w:tcPr>
            <w:tcW w:w="156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452,</w:t>
            </w:r>
            <w:r w:rsidR="00AD6301">
              <w:rPr>
                <w:sz w:val="20"/>
                <w:szCs w:val="20"/>
              </w:rPr>
              <w:t>0</w:t>
            </w:r>
            <w:r w:rsidR="00BC1304">
              <w:rPr>
                <w:sz w:val="20"/>
                <w:szCs w:val="20"/>
              </w:rPr>
              <w:t>36</w:t>
            </w:r>
          </w:p>
        </w:tc>
        <w:tc>
          <w:tcPr>
            <w:tcW w:w="1320" w:type="dxa"/>
            <w:tcBorders>
              <w:top w:val="nil"/>
              <w:left w:val="nil"/>
              <w:bottom w:val="nil"/>
              <w:right w:val="nil"/>
            </w:tcBorders>
            <w:shd w:val="clear" w:color="auto" w:fill="auto"/>
            <w:noWrap/>
            <w:vAlign w:val="bottom"/>
            <w:hideMark/>
          </w:tcPr>
          <w:p w:rsidR="00E2771C" w:rsidRDefault="00E2771C" w:rsidP="00BC1304">
            <w:pPr>
              <w:jc w:val="right"/>
              <w:rPr>
                <w:sz w:val="20"/>
                <w:szCs w:val="20"/>
              </w:rPr>
            </w:pPr>
            <w:r>
              <w:rPr>
                <w:sz w:val="20"/>
                <w:szCs w:val="20"/>
              </w:rPr>
              <w:t>44</w:t>
            </w:r>
            <w:r w:rsidR="00BC1304">
              <w:rPr>
                <w:sz w:val="20"/>
                <w:szCs w:val="20"/>
              </w:rPr>
              <w:t>4,961</w:t>
            </w:r>
          </w:p>
        </w:tc>
        <w:tc>
          <w:tcPr>
            <w:tcW w:w="134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-7,</w:t>
            </w:r>
            <w:r w:rsidR="00AD6301">
              <w:rPr>
                <w:sz w:val="20"/>
                <w:szCs w:val="20"/>
              </w:rPr>
              <w:t>07</w:t>
            </w:r>
            <w:r w:rsidR="00BC1304">
              <w:rPr>
                <w:sz w:val="20"/>
                <w:szCs w:val="20"/>
              </w:rPr>
              <w:t>5</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Case Related Expenses</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38,608</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43,600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43,600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Special Contract Services</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137,996</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151,400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151,400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Investigative Expenses Leading to Seizure</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69,648</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67,800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67,800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Contracts to Identify Assets</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53,258</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54,200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54,200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Awards for Information Leading to a Forfeiture</w:t>
            </w:r>
          </w:p>
        </w:tc>
        <w:tc>
          <w:tcPr>
            <w:tcW w:w="1520" w:type="dxa"/>
            <w:tcBorders>
              <w:top w:val="nil"/>
              <w:left w:val="nil"/>
              <w:bottom w:val="nil"/>
              <w:right w:val="nil"/>
            </w:tcBorders>
            <w:shd w:val="clear" w:color="auto" w:fill="auto"/>
            <w:noWrap/>
            <w:vAlign w:val="bottom"/>
            <w:hideMark/>
          </w:tcPr>
          <w:p w:rsidR="00E2771C" w:rsidRDefault="00E2771C">
            <w:pPr>
              <w:jc w:val="right"/>
              <w:rPr>
                <w:color w:val="000000"/>
                <w:sz w:val="20"/>
                <w:szCs w:val="20"/>
              </w:rPr>
            </w:pPr>
            <w:r>
              <w:rPr>
                <w:color w:val="000000"/>
                <w:sz w:val="20"/>
                <w:szCs w:val="20"/>
              </w:rPr>
              <w:t>16,968</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15,200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15,200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 xml:space="preserve">     Program support expenses:</w:t>
            </w: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Automated Data Processing</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29,710</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42,900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42,900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Training and Printing</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8,734</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12,600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12,600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Other Program Management</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46,270</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61,400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61,400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u w:val="single"/>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 xml:space="preserve">     Other authorized expenses:</w:t>
            </w: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2"/>
        </w:trPr>
        <w:tc>
          <w:tcPr>
            <w:tcW w:w="4540" w:type="dxa"/>
            <w:tcBorders>
              <w:top w:val="nil"/>
              <w:left w:val="nil"/>
              <w:bottom w:val="nil"/>
              <w:right w:val="nil"/>
            </w:tcBorders>
            <w:shd w:val="clear" w:color="auto" w:fill="auto"/>
            <w:vAlign w:val="bottom"/>
            <w:hideMark/>
          </w:tcPr>
          <w:p w:rsidR="00E2771C" w:rsidRDefault="00E2771C">
            <w:pPr>
              <w:rPr>
                <w:sz w:val="20"/>
                <w:szCs w:val="20"/>
              </w:rPr>
            </w:pPr>
            <w:r>
              <w:rPr>
                <w:sz w:val="20"/>
                <w:szCs w:val="20"/>
              </w:rPr>
              <w:t xml:space="preserve">         Storage, Protection &amp; Destruction of Controlled Substances</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10,219</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10,100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10,100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Equitable Sharing Payments</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701,421</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435,300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400,000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-35,300</w:t>
            </w:r>
          </w:p>
        </w:tc>
      </w:tr>
      <w:tr w:rsidR="00E2771C" w:rsidTr="00E2771C">
        <w:trPr>
          <w:trHeight w:val="525"/>
        </w:trPr>
        <w:tc>
          <w:tcPr>
            <w:tcW w:w="4540" w:type="dxa"/>
            <w:tcBorders>
              <w:top w:val="nil"/>
              <w:left w:val="nil"/>
              <w:bottom w:val="nil"/>
              <w:right w:val="nil"/>
            </w:tcBorders>
            <w:shd w:val="clear" w:color="auto" w:fill="auto"/>
            <w:vAlign w:val="bottom"/>
            <w:hideMark/>
          </w:tcPr>
          <w:p w:rsidR="00E2771C" w:rsidRDefault="00E2771C">
            <w:pPr>
              <w:rPr>
                <w:sz w:val="20"/>
                <w:szCs w:val="20"/>
              </w:rPr>
            </w:pPr>
            <w:r>
              <w:rPr>
                <w:sz w:val="20"/>
                <w:szCs w:val="20"/>
              </w:rPr>
              <w:t xml:space="preserve">         Joint Federal/State and Local Law Enforcement Operations</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139,677</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154,</w:t>
            </w:r>
            <w:r w:rsidR="00BC1304">
              <w:rPr>
                <w:sz w:val="20"/>
                <w:szCs w:val="20"/>
                <w:u w:val="single"/>
              </w:rPr>
              <w:t>700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162,</w:t>
            </w:r>
            <w:r w:rsidR="00BC1304">
              <w:rPr>
                <w:sz w:val="20"/>
                <w:szCs w:val="20"/>
                <w:u w:val="single"/>
              </w:rPr>
              <w:t>435</w:t>
            </w:r>
          </w:p>
        </w:tc>
        <w:tc>
          <w:tcPr>
            <w:tcW w:w="1340" w:type="dxa"/>
            <w:tcBorders>
              <w:top w:val="nil"/>
              <w:left w:val="nil"/>
              <w:bottom w:val="nil"/>
              <w:right w:val="nil"/>
            </w:tcBorders>
            <w:shd w:val="clear" w:color="auto" w:fill="auto"/>
            <w:noWrap/>
            <w:vAlign w:val="bottom"/>
            <w:hideMark/>
          </w:tcPr>
          <w:p w:rsidR="00E2771C" w:rsidRDefault="00E2771C" w:rsidP="00BC1304">
            <w:pPr>
              <w:jc w:val="right"/>
              <w:rPr>
                <w:sz w:val="20"/>
                <w:szCs w:val="20"/>
                <w:u w:val="single"/>
              </w:rPr>
            </w:pPr>
            <w:r>
              <w:rPr>
                <w:sz w:val="20"/>
                <w:szCs w:val="20"/>
                <w:u w:val="single"/>
              </w:rPr>
              <w:t>7,73</w:t>
            </w:r>
            <w:r w:rsidR="00BC1304">
              <w:rPr>
                <w:sz w:val="20"/>
                <w:szCs w:val="20"/>
                <w:u w:val="single"/>
              </w:rPr>
              <w:t>5</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Subtotal:  Mandatory Expenses  </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4,331,189</w:t>
            </w:r>
          </w:p>
        </w:tc>
        <w:tc>
          <w:tcPr>
            <w:tcW w:w="156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1,591,</w:t>
            </w:r>
            <w:r w:rsidR="00AD6301">
              <w:rPr>
                <w:sz w:val="20"/>
                <w:szCs w:val="20"/>
              </w:rPr>
              <w:t>636</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1,556,996</w:t>
            </w:r>
          </w:p>
        </w:tc>
        <w:tc>
          <w:tcPr>
            <w:tcW w:w="134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-34,</w:t>
            </w:r>
            <w:r w:rsidR="00AD6301">
              <w:rPr>
                <w:sz w:val="20"/>
                <w:szCs w:val="20"/>
              </w:rPr>
              <w:t>640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i/>
                <w:iCs/>
                <w:sz w:val="20"/>
                <w:szCs w:val="20"/>
              </w:rPr>
            </w:pPr>
            <w:r>
              <w:rPr>
                <w:b/>
                <w:bCs/>
                <w:i/>
                <w:iCs/>
                <w:sz w:val="20"/>
                <w:szCs w:val="20"/>
              </w:rPr>
              <w:t>Investigative expenses:  (definite authority)</w:t>
            </w: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Awards for Information</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10,800</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11,928</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11,928</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Purchase of Evidence</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8,412</w:t>
            </w:r>
          </w:p>
        </w:tc>
        <w:tc>
          <w:tcPr>
            <w:tcW w:w="156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8,</w:t>
            </w:r>
            <w:r w:rsidR="00AD6301">
              <w:rPr>
                <w:sz w:val="20"/>
                <w:szCs w:val="20"/>
              </w:rPr>
              <w:t>598</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8,470</w:t>
            </w:r>
          </w:p>
        </w:tc>
        <w:tc>
          <w:tcPr>
            <w:tcW w:w="1340" w:type="dxa"/>
            <w:tcBorders>
              <w:top w:val="nil"/>
              <w:left w:val="nil"/>
              <w:bottom w:val="nil"/>
              <w:right w:val="nil"/>
            </w:tcBorders>
            <w:shd w:val="clear" w:color="auto" w:fill="auto"/>
            <w:noWrap/>
            <w:vAlign w:val="bottom"/>
            <w:hideMark/>
          </w:tcPr>
          <w:p w:rsidR="00E2771C" w:rsidRDefault="000872E8">
            <w:pPr>
              <w:jc w:val="right"/>
              <w:rPr>
                <w:sz w:val="20"/>
                <w:szCs w:val="20"/>
              </w:rPr>
            </w:pPr>
            <w:r>
              <w:rPr>
                <w:sz w:val="20"/>
                <w:szCs w:val="20"/>
              </w:rPr>
              <w:t>-128</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Equipping of Conveyances</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293</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550</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550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0</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               Subtotal:  Investigative Expenses</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19,505</w:t>
            </w:r>
          </w:p>
        </w:tc>
        <w:tc>
          <w:tcPr>
            <w:tcW w:w="1560" w:type="dxa"/>
            <w:tcBorders>
              <w:top w:val="nil"/>
              <w:left w:val="nil"/>
              <w:bottom w:val="nil"/>
              <w:right w:val="nil"/>
            </w:tcBorders>
            <w:shd w:val="clear" w:color="auto" w:fill="auto"/>
            <w:noWrap/>
            <w:vAlign w:val="bottom"/>
            <w:hideMark/>
          </w:tcPr>
          <w:p w:rsidR="00E2771C" w:rsidRDefault="00E2771C" w:rsidP="00AD6301">
            <w:pPr>
              <w:jc w:val="right"/>
              <w:rPr>
                <w:sz w:val="20"/>
                <w:szCs w:val="20"/>
              </w:rPr>
            </w:pPr>
            <w:r>
              <w:rPr>
                <w:sz w:val="20"/>
                <w:szCs w:val="20"/>
              </w:rPr>
              <w:t>2</w:t>
            </w:r>
            <w:r w:rsidR="00AD6301">
              <w:rPr>
                <w:sz w:val="20"/>
                <w:szCs w:val="20"/>
              </w:rPr>
              <w:t>1</w:t>
            </w:r>
            <w:r>
              <w:rPr>
                <w:sz w:val="20"/>
                <w:szCs w:val="20"/>
              </w:rPr>
              <w:t>,</w:t>
            </w:r>
            <w:r w:rsidR="00AD6301">
              <w:rPr>
                <w:sz w:val="20"/>
                <w:szCs w:val="20"/>
              </w:rPr>
              <w:t>076</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rPr>
            </w:pPr>
            <w:r>
              <w:rPr>
                <w:sz w:val="20"/>
                <w:szCs w:val="20"/>
              </w:rPr>
              <w:t>20,948</w:t>
            </w:r>
          </w:p>
        </w:tc>
        <w:tc>
          <w:tcPr>
            <w:tcW w:w="1340" w:type="dxa"/>
            <w:tcBorders>
              <w:top w:val="nil"/>
              <w:left w:val="nil"/>
              <w:bottom w:val="nil"/>
              <w:right w:val="nil"/>
            </w:tcBorders>
            <w:shd w:val="clear" w:color="auto" w:fill="auto"/>
            <w:noWrap/>
            <w:vAlign w:val="bottom"/>
            <w:hideMark/>
          </w:tcPr>
          <w:p w:rsidR="00E2771C" w:rsidRDefault="000872E8">
            <w:pPr>
              <w:jc w:val="right"/>
              <w:rPr>
                <w:sz w:val="20"/>
                <w:szCs w:val="20"/>
              </w:rPr>
            </w:pPr>
            <w:r>
              <w:rPr>
                <w:sz w:val="20"/>
                <w:szCs w:val="20"/>
              </w:rPr>
              <w:t>-128</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Total, Mandatory and Investigative Expenses</w:t>
            </w:r>
          </w:p>
        </w:tc>
        <w:tc>
          <w:tcPr>
            <w:tcW w:w="152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4,350,694</w:t>
            </w:r>
          </w:p>
        </w:tc>
        <w:tc>
          <w:tcPr>
            <w:tcW w:w="15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1,612,712</w:t>
            </w:r>
          </w:p>
        </w:tc>
        <w:tc>
          <w:tcPr>
            <w:tcW w:w="132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1,577,944</w:t>
            </w:r>
          </w:p>
        </w:tc>
        <w:tc>
          <w:tcPr>
            <w:tcW w:w="134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-34,768</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r>
              <w:rPr>
                <w:sz w:val="20"/>
                <w:szCs w:val="20"/>
              </w:rPr>
              <w:t xml:space="preserve">Super Surplus amounts obligated </w:t>
            </w:r>
          </w:p>
        </w:tc>
        <w:tc>
          <w:tcPr>
            <w:tcW w:w="15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151,011</w:t>
            </w:r>
          </w:p>
        </w:tc>
        <w:tc>
          <w:tcPr>
            <w:tcW w:w="156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357</w:t>
            </w:r>
          </w:p>
        </w:tc>
        <w:tc>
          <w:tcPr>
            <w:tcW w:w="132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0</w:t>
            </w:r>
          </w:p>
        </w:tc>
        <w:tc>
          <w:tcPr>
            <w:tcW w:w="1340" w:type="dxa"/>
            <w:tcBorders>
              <w:top w:val="nil"/>
              <w:left w:val="nil"/>
              <w:bottom w:val="nil"/>
              <w:right w:val="nil"/>
            </w:tcBorders>
            <w:shd w:val="clear" w:color="auto" w:fill="auto"/>
            <w:noWrap/>
            <w:vAlign w:val="bottom"/>
            <w:hideMark/>
          </w:tcPr>
          <w:p w:rsidR="00E2771C" w:rsidRDefault="00E2771C">
            <w:pPr>
              <w:jc w:val="right"/>
              <w:rPr>
                <w:sz w:val="20"/>
                <w:szCs w:val="20"/>
                <w:u w:val="single"/>
              </w:rPr>
            </w:pPr>
            <w:r>
              <w:rPr>
                <w:sz w:val="20"/>
                <w:szCs w:val="20"/>
                <w:u w:val="single"/>
              </w:rPr>
              <w:t>-357</w:t>
            </w: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56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20" w:type="dxa"/>
            <w:tcBorders>
              <w:top w:val="nil"/>
              <w:left w:val="nil"/>
              <w:bottom w:val="nil"/>
              <w:right w:val="nil"/>
            </w:tcBorders>
            <w:shd w:val="clear" w:color="auto" w:fill="auto"/>
            <w:noWrap/>
            <w:vAlign w:val="bottom"/>
            <w:hideMark/>
          </w:tcPr>
          <w:p w:rsidR="00E2771C" w:rsidRDefault="00E2771C">
            <w:pPr>
              <w:rPr>
                <w:sz w:val="20"/>
                <w:szCs w:val="20"/>
              </w:rPr>
            </w:pPr>
          </w:p>
        </w:tc>
        <w:tc>
          <w:tcPr>
            <w:tcW w:w="1340" w:type="dxa"/>
            <w:tcBorders>
              <w:top w:val="nil"/>
              <w:left w:val="nil"/>
              <w:bottom w:val="nil"/>
              <w:right w:val="nil"/>
            </w:tcBorders>
            <w:shd w:val="clear" w:color="auto" w:fill="auto"/>
            <w:noWrap/>
            <w:vAlign w:val="bottom"/>
            <w:hideMark/>
          </w:tcPr>
          <w:p w:rsidR="00E2771C" w:rsidRDefault="00E2771C">
            <w:pPr>
              <w:rPr>
                <w:sz w:val="20"/>
                <w:szCs w:val="20"/>
              </w:rPr>
            </w:pPr>
          </w:p>
        </w:tc>
      </w:tr>
      <w:tr w:rsidR="00E2771C" w:rsidTr="00E2771C">
        <w:trPr>
          <w:trHeight w:val="315"/>
        </w:trPr>
        <w:tc>
          <w:tcPr>
            <w:tcW w:w="4540" w:type="dxa"/>
            <w:tcBorders>
              <w:top w:val="nil"/>
              <w:left w:val="nil"/>
              <w:bottom w:val="nil"/>
              <w:right w:val="nil"/>
            </w:tcBorders>
            <w:shd w:val="clear" w:color="auto" w:fill="auto"/>
            <w:noWrap/>
            <w:vAlign w:val="bottom"/>
            <w:hideMark/>
          </w:tcPr>
          <w:p w:rsidR="00E2771C" w:rsidRDefault="00E2771C">
            <w:pPr>
              <w:rPr>
                <w:b/>
                <w:bCs/>
                <w:sz w:val="20"/>
                <w:szCs w:val="20"/>
              </w:rPr>
            </w:pPr>
            <w:r>
              <w:rPr>
                <w:b/>
                <w:bCs/>
                <w:sz w:val="20"/>
                <w:szCs w:val="20"/>
              </w:rPr>
              <w:t>Total Gross Obligations</w:t>
            </w:r>
          </w:p>
        </w:tc>
        <w:tc>
          <w:tcPr>
            <w:tcW w:w="152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4,501,705</w:t>
            </w:r>
          </w:p>
        </w:tc>
        <w:tc>
          <w:tcPr>
            <w:tcW w:w="156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1,613,069</w:t>
            </w:r>
          </w:p>
        </w:tc>
        <w:tc>
          <w:tcPr>
            <w:tcW w:w="132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1,577,944</w:t>
            </w:r>
          </w:p>
        </w:tc>
        <w:tc>
          <w:tcPr>
            <w:tcW w:w="1340" w:type="dxa"/>
            <w:tcBorders>
              <w:top w:val="nil"/>
              <w:left w:val="nil"/>
              <w:bottom w:val="nil"/>
              <w:right w:val="nil"/>
            </w:tcBorders>
            <w:shd w:val="clear" w:color="auto" w:fill="auto"/>
            <w:noWrap/>
            <w:vAlign w:val="bottom"/>
            <w:hideMark/>
          </w:tcPr>
          <w:p w:rsidR="00E2771C" w:rsidRDefault="00E2771C">
            <w:pPr>
              <w:jc w:val="right"/>
              <w:rPr>
                <w:b/>
                <w:bCs/>
                <w:sz w:val="20"/>
                <w:szCs w:val="20"/>
              </w:rPr>
            </w:pPr>
            <w:r>
              <w:rPr>
                <w:b/>
                <w:bCs/>
                <w:sz w:val="20"/>
                <w:szCs w:val="20"/>
              </w:rPr>
              <w:t>-35,125</w:t>
            </w:r>
          </w:p>
        </w:tc>
      </w:tr>
    </w:tbl>
    <w:p w:rsidR="0033480F" w:rsidRPr="00273F14" w:rsidRDefault="0033480F" w:rsidP="0033480F">
      <w:pPr>
        <w:pStyle w:val="xl27"/>
        <w:keepNext/>
        <w:rPr>
          <w:rFonts w:ascii="Times New Roman" w:hAnsi="Times New Roman"/>
        </w:rPr>
      </w:pPr>
      <w:r w:rsidRPr="00273F14">
        <w:rPr>
          <w:rFonts w:ascii="Times New Roman" w:hAnsi="Times New Roman"/>
        </w:rPr>
        <w:lastRenderedPageBreak/>
        <w:t>3.  Program Expense Description</w:t>
      </w:r>
    </w:p>
    <w:p w:rsidR="0033480F" w:rsidRPr="00273F14" w:rsidRDefault="0033480F" w:rsidP="0033480F">
      <w:pPr>
        <w:keepNext/>
        <w:keepLines/>
        <w:rPr>
          <w:color w:val="000000"/>
        </w:rPr>
      </w:pPr>
    </w:p>
    <w:p w:rsidR="0033480F" w:rsidRPr="00273F14" w:rsidRDefault="0033480F" w:rsidP="0033480F">
      <w:pPr>
        <w:keepNext/>
        <w:keepLines/>
        <w:rPr>
          <w:color w:val="000000"/>
        </w:rPr>
      </w:pPr>
      <w:r w:rsidRPr="00273F14">
        <w:rPr>
          <w:color w:val="000000"/>
        </w:rPr>
        <w:t>A.  Mandatory Expenses, Indefinite Authority</w:t>
      </w:r>
    </w:p>
    <w:p w:rsidR="0033480F" w:rsidRPr="00273F14" w:rsidRDefault="0033480F" w:rsidP="0033480F">
      <w:pPr>
        <w:keepNext/>
        <w:keepLines/>
        <w:rPr>
          <w:color w:val="000000"/>
        </w:rPr>
      </w:pPr>
    </w:p>
    <w:p w:rsidR="0033480F" w:rsidRPr="005063E2" w:rsidRDefault="0033480F" w:rsidP="0033480F">
      <w:pPr>
        <w:numPr>
          <w:ilvl w:val="0"/>
          <w:numId w:val="24"/>
        </w:numPr>
        <w:tabs>
          <w:tab w:val="clear" w:pos="360"/>
          <w:tab w:val="num" w:pos="720"/>
        </w:tabs>
        <w:rPr>
          <w:color w:val="000000"/>
          <w:u w:val="single"/>
        </w:rPr>
      </w:pPr>
      <w:r w:rsidRPr="00273F14">
        <w:rPr>
          <w:color w:val="000000"/>
        </w:rPr>
        <w:t>Management and Disposal of Seized Assets</w:t>
      </w:r>
    </w:p>
    <w:p w:rsidR="0033480F" w:rsidRPr="00273F14" w:rsidRDefault="0033480F" w:rsidP="0033480F">
      <w:pPr>
        <w:ind w:left="360"/>
        <w:rPr>
          <w:color w:val="000000"/>
          <w:u w:val="single"/>
        </w:rPr>
      </w:pPr>
    </w:p>
    <w:p w:rsidR="0033480F" w:rsidRPr="00273F14" w:rsidRDefault="0033480F" w:rsidP="0033480F">
      <w:pPr>
        <w:tabs>
          <w:tab w:val="left" w:pos="720"/>
        </w:tabs>
        <w:ind w:firstLine="360"/>
        <w:rPr>
          <w:color w:val="000000"/>
          <w:u w:val="single"/>
        </w:rPr>
      </w:pP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ind w:left="630"/>
        <w:rPr>
          <w:color w:val="000000"/>
        </w:rPr>
      </w:pPr>
      <w:r w:rsidRPr="00273F14">
        <w:rPr>
          <w:color w:val="000000"/>
        </w:rPr>
        <w:t xml:space="preserve">     $</w:t>
      </w:r>
      <w:r>
        <w:rPr>
          <w:color w:val="000000"/>
        </w:rPr>
        <w:t>90,400,000</w:t>
      </w:r>
      <w:r w:rsidRPr="00273F14">
        <w:rPr>
          <w:color w:val="000000"/>
        </w:rPr>
        <w:t xml:space="preserve">        </w:t>
      </w:r>
      <w:r w:rsidRPr="00273F14">
        <w:rPr>
          <w:color w:val="000000"/>
        </w:rPr>
        <w:tab/>
        <w:t xml:space="preserve"> </w:t>
      </w:r>
      <w:r>
        <w:rPr>
          <w:color w:val="000000"/>
        </w:rPr>
        <w:t xml:space="preserve"> </w:t>
      </w:r>
      <w:r w:rsidRPr="00273F14">
        <w:rPr>
          <w:color w:val="000000"/>
        </w:rPr>
        <w:t xml:space="preserve">  $</w:t>
      </w:r>
      <w:r>
        <w:rPr>
          <w:color w:val="000000"/>
        </w:rPr>
        <w:t>90,400</w:t>
      </w:r>
      <w:r w:rsidRPr="00273F14">
        <w:rPr>
          <w:color w:val="000000"/>
        </w:rPr>
        <w:t xml:space="preserve">,000          </w:t>
      </w:r>
      <w:r w:rsidRPr="00273F14">
        <w:rPr>
          <w:color w:val="000000"/>
        </w:rPr>
        <w:tab/>
        <w:t xml:space="preserve">      </w:t>
      </w:r>
      <w:r>
        <w:rPr>
          <w:color w:val="000000"/>
        </w:rPr>
        <w:t xml:space="preserve">    </w:t>
      </w:r>
      <w:r w:rsidRPr="00273F14">
        <w:rPr>
          <w:color w:val="000000"/>
        </w:rPr>
        <w:t>$</w:t>
      </w:r>
      <w:r>
        <w:rPr>
          <w:color w:val="000000"/>
        </w:rPr>
        <w:t>0</w:t>
      </w:r>
      <w:r w:rsidRPr="00273F14">
        <w:rPr>
          <w:color w:val="000000"/>
        </w:rPr>
        <w:t xml:space="preserve">       </w:t>
      </w:r>
    </w:p>
    <w:p w:rsidR="0033480F" w:rsidRPr="00273F14" w:rsidRDefault="0033480F" w:rsidP="0033480F">
      <w:pPr>
        <w:ind w:left="630"/>
        <w:rPr>
          <w:color w:val="000000"/>
        </w:rPr>
      </w:pPr>
    </w:p>
    <w:p w:rsidR="0033480F" w:rsidRPr="00273F14" w:rsidRDefault="0033480F" w:rsidP="0033480F">
      <w:pPr>
        <w:tabs>
          <w:tab w:val="left" w:pos="720"/>
        </w:tabs>
        <w:ind w:left="720"/>
        <w:rPr>
          <w:color w:val="000000"/>
        </w:rPr>
      </w:pPr>
      <w:r w:rsidRPr="00273F14">
        <w:t xml:space="preserve">The primary purpose of the Fund is to ensure an adequate and appropriate source of funding for the management and disposal of property seized for forfeiture, as well as forfeited assets, activities which would otherwise be paid from agencies’ operating budgets.  </w:t>
      </w:r>
      <w:r w:rsidRPr="00836654">
        <w:t>Asset management e</w:t>
      </w:r>
      <w:r w:rsidRPr="00836654">
        <w:rPr>
          <w:color w:val="171E24"/>
        </w:rPr>
        <w:t xml:space="preserve">xpenses include </w:t>
      </w:r>
      <w:r>
        <w:rPr>
          <w:color w:val="171E24"/>
        </w:rPr>
        <w:t xml:space="preserve">those </w:t>
      </w:r>
      <w:r w:rsidRPr="00836654">
        <w:rPr>
          <w:color w:val="171E24"/>
        </w:rPr>
        <w:t>incurred in connection with the seizure, inventory, appraisal, packaging, movement, storage, maintenance, security, and disposition of property</w:t>
      </w:r>
      <w:r w:rsidRPr="00273F14">
        <w:rPr>
          <w:color w:val="171E24"/>
        </w:rPr>
        <w:t>.</w:t>
      </w:r>
      <w:r w:rsidRPr="00273F14">
        <w:t xml:space="preserve"> </w:t>
      </w:r>
      <w:r>
        <w:t xml:space="preserve"> In addition, </w:t>
      </w:r>
      <w:r w:rsidRPr="00273F14">
        <w:t xml:space="preserve">funding is </w:t>
      </w:r>
      <w:r>
        <w:t>provided</w:t>
      </w:r>
      <w:r w:rsidRPr="00273F14">
        <w:t xml:space="preserve"> for the assessment, containment, removal and destruction of hazardous materials seized for forfeiture, and hazardous waste contaminated property seized for forfeiture.  </w:t>
      </w:r>
      <w:r>
        <w:t xml:space="preserve">The </w:t>
      </w:r>
      <w:r w:rsidRPr="00273F14">
        <w:t>cost</w:t>
      </w:r>
      <w:r>
        <w:t>s</w:t>
      </w:r>
      <w:r w:rsidRPr="00273F14">
        <w:t xml:space="preserve"> of administrative personnel </w:t>
      </w:r>
      <w:r>
        <w:t xml:space="preserve">directly related to the property management functions of the </w:t>
      </w:r>
      <w:r w:rsidRPr="00273F14">
        <w:t>forfeiture program</w:t>
      </w:r>
      <w:r>
        <w:t xml:space="preserve"> are also included in this category.</w:t>
      </w:r>
    </w:p>
    <w:p w:rsidR="0033480F" w:rsidRPr="00273F14" w:rsidRDefault="0033480F" w:rsidP="0033480F">
      <w:pPr>
        <w:tabs>
          <w:tab w:val="left" w:pos="720"/>
        </w:tabs>
        <w:ind w:left="720"/>
        <w:rPr>
          <w:color w:val="000000"/>
        </w:rPr>
      </w:pPr>
    </w:p>
    <w:p w:rsidR="0033480F" w:rsidRDefault="0033480F" w:rsidP="0033480F">
      <w:pPr>
        <w:numPr>
          <w:ilvl w:val="0"/>
          <w:numId w:val="24"/>
        </w:numPr>
        <w:tabs>
          <w:tab w:val="clear" w:pos="360"/>
          <w:tab w:val="num" w:pos="720"/>
        </w:tabs>
        <w:rPr>
          <w:color w:val="000000"/>
        </w:rPr>
      </w:pPr>
      <w:r w:rsidRPr="00273F14">
        <w:rPr>
          <w:color w:val="000000"/>
        </w:rPr>
        <w:t xml:space="preserve">Other Asset Specific Expenses </w:t>
      </w:r>
    </w:p>
    <w:p w:rsidR="0033480F" w:rsidRPr="00273F14" w:rsidRDefault="0033480F" w:rsidP="0033480F">
      <w:pPr>
        <w:ind w:left="360"/>
        <w:rPr>
          <w:color w:val="000000"/>
        </w:rPr>
      </w:pPr>
    </w:p>
    <w:p w:rsidR="0033480F" w:rsidRPr="00273F14" w:rsidRDefault="0033480F" w:rsidP="0033480F">
      <w:pPr>
        <w:tabs>
          <w:tab w:val="left" w:pos="720"/>
        </w:tabs>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rPr>
          <w:color w:val="000000"/>
        </w:rPr>
      </w:pPr>
      <w:r w:rsidRPr="00273F14">
        <w:rPr>
          <w:color w:val="000000"/>
        </w:rPr>
        <w:t xml:space="preserve">              $</w:t>
      </w:r>
      <w:r>
        <w:rPr>
          <w:color w:val="000000"/>
        </w:rPr>
        <w:t>495,</w:t>
      </w:r>
      <w:r w:rsidR="000872E8">
        <w:rPr>
          <w:color w:val="000000"/>
        </w:rPr>
        <w:t>6</w:t>
      </w:r>
      <w:r w:rsidR="00BC1304">
        <w:rPr>
          <w:color w:val="000000"/>
        </w:rPr>
        <w:t>36</w:t>
      </w:r>
      <w:r w:rsidRPr="00273F14">
        <w:rPr>
          <w:color w:val="000000"/>
        </w:rPr>
        <w:t xml:space="preserve">,000            </w:t>
      </w:r>
      <w:r>
        <w:rPr>
          <w:color w:val="000000"/>
        </w:rPr>
        <w:t xml:space="preserve">   </w:t>
      </w:r>
      <w:r w:rsidRPr="00273F14">
        <w:rPr>
          <w:color w:val="000000"/>
        </w:rPr>
        <w:t xml:space="preserve"> $</w:t>
      </w:r>
      <w:r>
        <w:rPr>
          <w:color w:val="000000"/>
        </w:rPr>
        <w:t>488,</w:t>
      </w:r>
      <w:r w:rsidR="00BC1304">
        <w:rPr>
          <w:color w:val="000000"/>
        </w:rPr>
        <w:t>561</w:t>
      </w:r>
      <w:r w:rsidRPr="00273F14">
        <w:rPr>
          <w:color w:val="000000"/>
        </w:rPr>
        <w:t>,000            -$</w:t>
      </w:r>
      <w:r>
        <w:rPr>
          <w:color w:val="000000"/>
        </w:rPr>
        <w:t>7,</w:t>
      </w:r>
      <w:r w:rsidR="000872E8">
        <w:rPr>
          <w:color w:val="000000"/>
        </w:rPr>
        <w:t>07</w:t>
      </w:r>
      <w:r w:rsidR="00BC1304">
        <w:rPr>
          <w:color w:val="000000"/>
        </w:rPr>
        <w:t>5</w:t>
      </w:r>
      <w:r>
        <w:rPr>
          <w:color w:val="000000"/>
        </w:rPr>
        <w:t>,000</w:t>
      </w:r>
      <w:r w:rsidRPr="00273F14">
        <w:rPr>
          <w:color w:val="000000"/>
        </w:rPr>
        <w:t xml:space="preserve"> </w:t>
      </w:r>
    </w:p>
    <w:p w:rsidR="0033480F" w:rsidRPr="00273F14" w:rsidRDefault="0033480F" w:rsidP="0033480F">
      <w:pPr>
        <w:rPr>
          <w:color w:val="000000"/>
        </w:rPr>
      </w:pPr>
      <w:r w:rsidRPr="00273F14">
        <w:rPr>
          <w:color w:val="000000"/>
        </w:rPr>
        <w:t xml:space="preserve">             </w:t>
      </w:r>
    </w:p>
    <w:p w:rsidR="0033480F" w:rsidRDefault="0033480F" w:rsidP="0033480F">
      <w:pPr>
        <w:ind w:left="720" w:right="630"/>
        <w:rPr>
          <w:color w:val="000000"/>
        </w:rPr>
      </w:pPr>
      <w:r w:rsidRPr="00273F14">
        <w:rPr>
          <w:color w:val="000000"/>
        </w:rPr>
        <w:t>This category includes third party payments and case related expenses.  Third party payments are payments to satisfy third-party interests, including lien holders and other innocent parties, pursuant to 28 U.S.C. § 524(c)(1)(D); payments in connection with the remission and mitigation of forfeitures, pursuant to 28 U.S.C. § 524(c)(1)(E); and direct expenses incurred in perfecting the forfeiture.  Case related expenses are expenses associated with the prosecution of a forfeiture case or execution of a forfeiture judgment, such as</w:t>
      </w:r>
      <w:r>
        <w:rPr>
          <w:color w:val="000000"/>
        </w:rPr>
        <w:t xml:space="preserve"> </w:t>
      </w:r>
      <w:r w:rsidRPr="00273F14">
        <w:rPr>
          <w:color w:val="000000"/>
        </w:rPr>
        <w:t xml:space="preserve">court and deposition reporting, courtroom exhibit services, and expert witness costs.  </w:t>
      </w:r>
    </w:p>
    <w:p w:rsidR="0033480F" w:rsidRPr="00273F14" w:rsidRDefault="0033480F" w:rsidP="0033480F">
      <w:pPr>
        <w:ind w:left="720" w:right="630"/>
        <w:rPr>
          <w:color w:val="000000"/>
        </w:rPr>
      </w:pPr>
    </w:p>
    <w:p w:rsidR="0033480F" w:rsidRDefault="0033480F" w:rsidP="0033480F">
      <w:pPr>
        <w:keepNext/>
        <w:numPr>
          <w:ilvl w:val="0"/>
          <w:numId w:val="24"/>
        </w:numPr>
        <w:tabs>
          <w:tab w:val="clear" w:pos="360"/>
          <w:tab w:val="num" w:pos="720"/>
        </w:tabs>
        <w:rPr>
          <w:color w:val="000000"/>
        </w:rPr>
      </w:pPr>
      <w:r w:rsidRPr="00273F14">
        <w:rPr>
          <w:color w:val="000000"/>
        </w:rPr>
        <w:t xml:space="preserve">Special Contract Services </w:t>
      </w:r>
    </w:p>
    <w:p w:rsidR="0033480F" w:rsidRPr="00273F14" w:rsidRDefault="0033480F" w:rsidP="0033480F">
      <w:pPr>
        <w:keepNext/>
        <w:ind w:left="360"/>
        <w:rPr>
          <w:color w:val="000000"/>
        </w:rPr>
      </w:pPr>
    </w:p>
    <w:p w:rsidR="0033480F" w:rsidRPr="00273F14" w:rsidRDefault="0033480F" w:rsidP="0033480F">
      <w:pPr>
        <w:keepNext/>
        <w:tabs>
          <w:tab w:val="left" w:pos="720"/>
        </w:tabs>
        <w:rPr>
          <w:color w:val="000000"/>
          <w:u w:val="single"/>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keepNext/>
        <w:rPr>
          <w:color w:val="000000"/>
        </w:rPr>
      </w:pPr>
      <w:r w:rsidRPr="00273F14">
        <w:rPr>
          <w:color w:val="000000"/>
        </w:rPr>
        <w:t xml:space="preserve">              $1</w:t>
      </w:r>
      <w:r>
        <w:rPr>
          <w:color w:val="000000"/>
        </w:rPr>
        <w:t>5</w:t>
      </w:r>
      <w:r w:rsidRPr="00273F14">
        <w:rPr>
          <w:color w:val="000000"/>
        </w:rPr>
        <w:t>1,</w:t>
      </w:r>
      <w:r>
        <w:rPr>
          <w:color w:val="000000"/>
        </w:rPr>
        <w:t>4</w:t>
      </w:r>
      <w:r w:rsidRPr="00273F14">
        <w:rPr>
          <w:color w:val="000000"/>
        </w:rPr>
        <w:t xml:space="preserve">00,000        </w:t>
      </w:r>
      <w:r w:rsidRPr="00273F14">
        <w:rPr>
          <w:color w:val="000000"/>
        </w:rPr>
        <w:tab/>
        <w:t xml:space="preserve">    $1</w:t>
      </w:r>
      <w:r>
        <w:rPr>
          <w:color w:val="000000"/>
        </w:rPr>
        <w:t>51,400</w:t>
      </w:r>
      <w:r w:rsidRPr="00273F14">
        <w:rPr>
          <w:color w:val="000000"/>
        </w:rPr>
        <w:t xml:space="preserve">,000       </w:t>
      </w:r>
      <w:r w:rsidRPr="00273F14">
        <w:rPr>
          <w:color w:val="000000"/>
        </w:rPr>
        <w:tab/>
        <w:t xml:space="preserve">     </w:t>
      </w:r>
      <w:r>
        <w:rPr>
          <w:color w:val="000000"/>
        </w:rPr>
        <w:t xml:space="preserve">    </w:t>
      </w:r>
      <w:r w:rsidRPr="00273F14">
        <w:rPr>
          <w:color w:val="000000"/>
        </w:rPr>
        <w:t>$0</w:t>
      </w:r>
    </w:p>
    <w:p w:rsidR="0033480F" w:rsidRPr="00273F14" w:rsidRDefault="0033480F" w:rsidP="0033480F">
      <w:pPr>
        <w:keepNext/>
        <w:rPr>
          <w:color w:val="000000"/>
        </w:rPr>
      </w:pPr>
    </w:p>
    <w:p w:rsidR="0033480F" w:rsidRDefault="0033480F" w:rsidP="0033480F">
      <w:pPr>
        <w:pStyle w:val="BodyTextIndent2"/>
        <w:keepNext/>
        <w:spacing w:line="240" w:lineRule="auto"/>
        <w:ind w:left="720"/>
      </w:pPr>
      <w:r w:rsidRPr="00273F14">
        <w:t xml:space="preserve">The Department of Justice Asset Forfeiture Program </w:t>
      </w:r>
      <w:r>
        <w:t xml:space="preserve">uses </w:t>
      </w:r>
      <w:r w:rsidRPr="00273F14">
        <w:t xml:space="preserve">contract personnel to manage the massive paper flow associated with forfeiture, including data entry, data analysis, word processing, file control, file review, quality control, case file preparation and other process support functions.  Without this contract support, it would be impossible to maintain the automated databases, process the tens of thousands of equitable sharing requests, and maintain the tens of thousands of forfeiture case files.   </w:t>
      </w:r>
    </w:p>
    <w:p w:rsidR="0033480F" w:rsidRDefault="0033480F" w:rsidP="0033480F">
      <w:r>
        <w:br w:type="page"/>
      </w:r>
    </w:p>
    <w:p w:rsidR="0033480F" w:rsidRDefault="0033480F" w:rsidP="0033480F">
      <w:pPr>
        <w:numPr>
          <w:ilvl w:val="0"/>
          <w:numId w:val="24"/>
        </w:numPr>
        <w:tabs>
          <w:tab w:val="clear" w:pos="360"/>
          <w:tab w:val="num" w:pos="720"/>
        </w:tabs>
        <w:rPr>
          <w:color w:val="000000"/>
        </w:rPr>
      </w:pPr>
      <w:r w:rsidRPr="00273F14">
        <w:rPr>
          <w:color w:val="000000"/>
        </w:rPr>
        <w:lastRenderedPageBreak/>
        <w:t xml:space="preserve">Investigative Expenses Leading to Seizure </w:t>
      </w:r>
    </w:p>
    <w:p w:rsidR="0033480F" w:rsidRPr="00273F14" w:rsidRDefault="0033480F" w:rsidP="0033480F">
      <w:pPr>
        <w:ind w:left="360"/>
        <w:rPr>
          <w:color w:val="000000"/>
        </w:rPr>
      </w:pPr>
    </w:p>
    <w:p w:rsidR="0033480F" w:rsidRPr="00273F14" w:rsidRDefault="0033480F" w:rsidP="0033480F">
      <w:pPr>
        <w:tabs>
          <w:tab w:val="left" w:pos="720"/>
        </w:tabs>
        <w:rPr>
          <w:color w:val="000000"/>
          <w:u w:val="single"/>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rPr>
          <w:color w:val="000000"/>
        </w:rPr>
      </w:pPr>
      <w:r w:rsidRPr="00273F14">
        <w:rPr>
          <w:color w:val="000000"/>
        </w:rPr>
        <w:t xml:space="preserve">              $</w:t>
      </w:r>
      <w:r>
        <w:rPr>
          <w:color w:val="000000"/>
        </w:rPr>
        <w:t>67,8</w:t>
      </w:r>
      <w:r w:rsidRPr="00273F14">
        <w:rPr>
          <w:color w:val="000000"/>
        </w:rPr>
        <w:t xml:space="preserve">00,000        </w:t>
      </w:r>
      <w:r w:rsidRPr="00273F14">
        <w:rPr>
          <w:color w:val="000000"/>
        </w:rPr>
        <w:tab/>
        <w:t xml:space="preserve">    $</w:t>
      </w:r>
      <w:r>
        <w:rPr>
          <w:color w:val="000000"/>
        </w:rPr>
        <w:t>67,8</w:t>
      </w:r>
      <w:r w:rsidRPr="00273F14">
        <w:rPr>
          <w:color w:val="000000"/>
        </w:rPr>
        <w:t xml:space="preserve">00,000       </w:t>
      </w:r>
      <w:r w:rsidRPr="00273F14">
        <w:rPr>
          <w:color w:val="000000"/>
        </w:rPr>
        <w:tab/>
        <w:t xml:space="preserve">     </w:t>
      </w:r>
      <w:r>
        <w:rPr>
          <w:color w:val="000000"/>
        </w:rPr>
        <w:t xml:space="preserve">     </w:t>
      </w:r>
      <w:r w:rsidRPr="00273F14">
        <w:rPr>
          <w:color w:val="000000"/>
        </w:rPr>
        <w:t>$0</w:t>
      </w:r>
    </w:p>
    <w:p w:rsidR="0033480F" w:rsidRPr="00273F14" w:rsidRDefault="0033480F" w:rsidP="0033480F">
      <w:pPr>
        <w:rPr>
          <w:color w:val="000000"/>
        </w:rPr>
      </w:pPr>
    </w:p>
    <w:p w:rsidR="0033480F" w:rsidRPr="00273F14" w:rsidRDefault="0033480F" w:rsidP="0033480F">
      <w:pPr>
        <w:ind w:left="720"/>
        <w:rPr>
          <w:color w:val="000000"/>
        </w:rPr>
      </w:pPr>
      <w:r w:rsidRPr="00273F14">
        <w:rPr>
          <w:color w:val="000000"/>
        </w:rPr>
        <w:t xml:space="preserve">Investigative expenses are those normally incurred in the identification, location, and seizure of property subject to forfeiture.  These include payments to reimburse any </w:t>
      </w:r>
      <w:r w:rsidR="00412FAD">
        <w:rPr>
          <w:color w:val="000000"/>
        </w:rPr>
        <w:t>f</w:t>
      </w:r>
      <w:r w:rsidRPr="00273F14">
        <w:rPr>
          <w:color w:val="000000"/>
        </w:rPr>
        <w:t>ederal agency participating in the Program for investigative costs leading to seizures.</w:t>
      </w:r>
    </w:p>
    <w:p w:rsidR="0033480F" w:rsidRPr="00273F14" w:rsidRDefault="0033480F" w:rsidP="0033480F">
      <w:pPr>
        <w:ind w:left="720"/>
        <w:rPr>
          <w:color w:val="000000"/>
        </w:rPr>
      </w:pPr>
    </w:p>
    <w:p w:rsidR="0033480F" w:rsidRDefault="0033480F" w:rsidP="0033480F">
      <w:pPr>
        <w:numPr>
          <w:ilvl w:val="0"/>
          <w:numId w:val="28"/>
        </w:numPr>
        <w:tabs>
          <w:tab w:val="clear" w:pos="360"/>
          <w:tab w:val="num" w:pos="720"/>
        </w:tabs>
        <w:rPr>
          <w:color w:val="000000"/>
        </w:rPr>
      </w:pPr>
      <w:r w:rsidRPr="00273F14">
        <w:rPr>
          <w:color w:val="000000"/>
        </w:rPr>
        <w:t>Contracts to Identify Assets</w:t>
      </w:r>
    </w:p>
    <w:p w:rsidR="0033480F" w:rsidRPr="00273F14" w:rsidRDefault="0033480F" w:rsidP="0033480F">
      <w:pPr>
        <w:ind w:left="360"/>
        <w:rPr>
          <w:color w:val="000000"/>
        </w:rPr>
      </w:pPr>
    </w:p>
    <w:p w:rsidR="0033480F" w:rsidRPr="00273F14" w:rsidRDefault="0033480F" w:rsidP="0033480F">
      <w:pPr>
        <w:tabs>
          <w:tab w:val="left" w:pos="720"/>
        </w:tabs>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ind w:left="630" w:hanging="630"/>
        <w:rPr>
          <w:color w:val="000000"/>
        </w:rPr>
      </w:pPr>
      <w:r w:rsidRPr="00273F14">
        <w:rPr>
          <w:color w:val="000000"/>
        </w:rPr>
        <w:t xml:space="preserve">             $5</w:t>
      </w:r>
      <w:r>
        <w:rPr>
          <w:color w:val="000000"/>
        </w:rPr>
        <w:t>4,2</w:t>
      </w:r>
      <w:r w:rsidRPr="00273F14">
        <w:rPr>
          <w:color w:val="000000"/>
        </w:rPr>
        <w:t>00,000                   $</w:t>
      </w:r>
      <w:r>
        <w:rPr>
          <w:color w:val="000000"/>
        </w:rPr>
        <w:t>54,2</w:t>
      </w:r>
      <w:r w:rsidRPr="00273F14">
        <w:rPr>
          <w:color w:val="000000"/>
        </w:rPr>
        <w:t xml:space="preserve">00,000                 </w:t>
      </w:r>
      <w:r>
        <w:rPr>
          <w:color w:val="000000"/>
        </w:rPr>
        <w:t xml:space="preserve">   </w:t>
      </w:r>
      <w:r w:rsidRPr="00273F14">
        <w:rPr>
          <w:color w:val="000000"/>
        </w:rPr>
        <w:t xml:space="preserve"> </w:t>
      </w:r>
      <w:r>
        <w:rPr>
          <w:color w:val="000000"/>
        </w:rPr>
        <w:t xml:space="preserve"> </w:t>
      </w:r>
      <w:r w:rsidRPr="00273F14">
        <w:rPr>
          <w:color w:val="000000"/>
        </w:rPr>
        <w:t>$0</w:t>
      </w:r>
    </w:p>
    <w:p w:rsidR="0033480F" w:rsidRPr="00273F14" w:rsidRDefault="0033480F" w:rsidP="0033480F">
      <w:pPr>
        <w:rPr>
          <w:color w:val="000000"/>
        </w:rPr>
      </w:pPr>
    </w:p>
    <w:p w:rsidR="0033480F" w:rsidRPr="00273F14" w:rsidRDefault="0033480F" w:rsidP="0033480F">
      <w:pPr>
        <w:ind w:left="720" w:right="630"/>
        <w:rPr>
          <w:color w:val="000000"/>
        </w:rPr>
      </w:pPr>
      <w:r w:rsidRPr="00273F14">
        <w:rPr>
          <w:color w:val="000000"/>
        </w:rPr>
        <w:t xml:space="preserve">Investigative agencies use these funds for subscription services to nationwide public record data systems, and for acquisition of specialized assistance, such as reconstruction of seized financial records.  </w:t>
      </w:r>
    </w:p>
    <w:p w:rsidR="0033480F" w:rsidRPr="00273F14" w:rsidRDefault="0033480F" w:rsidP="0033480F">
      <w:pPr>
        <w:ind w:left="630" w:right="630"/>
        <w:rPr>
          <w:color w:val="000000"/>
        </w:rPr>
      </w:pPr>
    </w:p>
    <w:p w:rsidR="0033480F" w:rsidRPr="005063E2" w:rsidRDefault="0033480F" w:rsidP="0033480F">
      <w:pPr>
        <w:pStyle w:val="ListParagraph"/>
        <w:keepNext/>
        <w:numPr>
          <w:ilvl w:val="0"/>
          <w:numId w:val="28"/>
        </w:numPr>
        <w:tabs>
          <w:tab w:val="left" w:pos="720"/>
        </w:tabs>
        <w:rPr>
          <w:color w:val="000000"/>
        </w:rPr>
      </w:pPr>
      <w:r w:rsidRPr="005063E2">
        <w:rPr>
          <w:color w:val="000000"/>
        </w:rPr>
        <w:t>Awards for Information Leading to Forfeiture</w:t>
      </w:r>
    </w:p>
    <w:p w:rsidR="0033480F" w:rsidRPr="005063E2" w:rsidRDefault="0033480F" w:rsidP="0033480F">
      <w:pPr>
        <w:pStyle w:val="ListParagraph"/>
        <w:keepNext/>
        <w:tabs>
          <w:tab w:val="left" w:pos="720"/>
        </w:tabs>
        <w:ind w:left="360"/>
        <w:rPr>
          <w:color w:val="000000"/>
        </w:rPr>
      </w:pPr>
    </w:p>
    <w:p w:rsidR="0033480F" w:rsidRPr="00273F14" w:rsidRDefault="0033480F" w:rsidP="0033480F">
      <w:pPr>
        <w:keepNext/>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keepNext/>
        <w:ind w:left="630" w:hanging="630"/>
        <w:rPr>
          <w:color w:val="000000"/>
        </w:rPr>
      </w:pPr>
      <w:r w:rsidRPr="00273F14">
        <w:rPr>
          <w:color w:val="000000"/>
        </w:rPr>
        <w:t xml:space="preserve">               $1</w:t>
      </w:r>
      <w:r>
        <w:rPr>
          <w:color w:val="000000"/>
        </w:rPr>
        <w:t>5,2</w:t>
      </w:r>
      <w:r w:rsidRPr="00273F14">
        <w:rPr>
          <w:color w:val="000000"/>
        </w:rPr>
        <w:t xml:space="preserve">00,000         </w:t>
      </w:r>
      <w:r w:rsidRPr="00273F14">
        <w:rPr>
          <w:color w:val="000000"/>
        </w:rPr>
        <w:tab/>
        <w:t xml:space="preserve">    $</w:t>
      </w:r>
      <w:r>
        <w:rPr>
          <w:color w:val="000000"/>
        </w:rPr>
        <w:t>15,200</w:t>
      </w:r>
      <w:r w:rsidRPr="00273F14">
        <w:rPr>
          <w:color w:val="000000"/>
        </w:rPr>
        <w:t xml:space="preserve">,000                  </w:t>
      </w:r>
      <w:r>
        <w:rPr>
          <w:color w:val="000000"/>
        </w:rPr>
        <w:t xml:space="preserve">   </w:t>
      </w:r>
      <w:r w:rsidRPr="00273F14">
        <w:rPr>
          <w:color w:val="000000"/>
        </w:rPr>
        <w:t>$0</w:t>
      </w:r>
    </w:p>
    <w:p w:rsidR="0033480F" w:rsidRPr="00273F14" w:rsidRDefault="0033480F" w:rsidP="0033480F">
      <w:pPr>
        <w:keepNext/>
        <w:rPr>
          <w:color w:val="000000"/>
        </w:rPr>
      </w:pPr>
      <w:r w:rsidRPr="00273F14">
        <w:rPr>
          <w:color w:val="000000"/>
        </w:rPr>
        <w:tab/>
      </w:r>
    </w:p>
    <w:p w:rsidR="0033480F" w:rsidRPr="00273F14" w:rsidRDefault="0033480F" w:rsidP="0033480F">
      <w:pPr>
        <w:pStyle w:val="BodyTextIndent3"/>
        <w:keepNext/>
        <w:ind w:left="720"/>
        <w:rPr>
          <w:sz w:val="24"/>
          <w:szCs w:val="24"/>
        </w:rPr>
      </w:pPr>
      <w:r w:rsidRPr="00273F14">
        <w:rPr>
          <w:sz w:val="24"/>
          <w:szCs w:val="24"/>
        </w:rPr>
        <w:t>Section 114 of Public Law 104-208, dated September 30, 1996, amended the Justice Fund statute to treat payments of awards based on the amount of the forfeiture the same as other costs of forfeiture.</w:t>
      </w:r>
    </w:p>
    <w:p w:rsidR="0033480F" w:rsidRPr="00273F14" w:rsidRDefault="0033480F" w:rsidP="0033480F">
      <w:pPr>
        <w:keepLines/>
        <w:ind w:left="630"/>
        <w:rPr>
          <w:color w:val="000000"/>
        </w:rPr>
      </w:pPr>
    </w:p>
    <w:p w:rsidR="0033480F" w:rsidRPr="005063E2" w:rsidRDefault="0033480F" w:rsidP="0033480F">
      <w:pPr>
        <w:pStyle w:val="ListParagraph"/>
        <w:keepNext/>
        <w:keepLines/>
        <w:numPr>
          <w:ilvl w:val="0"/>
          <w:numId w:val="28"/>
        </w:numPr>
        <w:tabs>
          <w:tab w:val="left" w:pos="720"/>
        </w:tabs>
        <w:rPr>
          <w:color w:val="000000"/>
        </w:rPr>
      </w:pPr>
      <w:r w:rsidRPr="005063E2">
        <w:rPr>
          <w:color w:val="000000"/>
        </w:rPr>
        <w:t>Automated Data Processing (ADP)</w:t>
      </w:r>
    </w:p>
    <w:p w:rsidR="0033480F" w:rsidRPr="005063E2" w:rsidRDefault="0033480F" w:rsidP="0033480F">
      <w:pPr>
        <w:pStyle w:val="ListParagraph"/>
        <w:keepNext/>
        <w:keepLines/>
        <w:tabs>
          <w:tab w:val="left" w:pos="720"/>
        </w:tabs>
        <w:ind w:left="360"/>
        <w:rPr>
          <w:color w:val="000000"/>
        </w:rPr>
      </w:pPr>
    </w:p>
    <w:p w:rsidR="0033480F" w:rsidRPr="00273F14" w:rsidRDefault="0033480F" w:rsidP="0033480F">
      <w:pPr>
        <w:keepNext/>
        <w:keepLines/>
        <w:ind w:left="180"/>
        <w:rPr>
          <w:color w:val="000000"/>
          <w:u w:val="single"/>
        </w:rPr>
      </w:pPr>
      <w:r w:rsidRPr="00273F14">
        <w:rPr>
          <w:color w:val="000000"/>
        </w:rPr>
        <w:t xml:space="preserve">        </w:t>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keepNext/>
        <w:keepLines/>
        <w:rPr>
          <w:color w:val="000000"/>
        </w:rPr>
      </w:pPr>
      <w:r w:rsidRPr="00273F14">
        <w:rPr>
          <w:color w:val="000000"/>
        </w:rPr>
        <w:t xml:space="preserve">               $4</w:t>
      </w:r>
      <w:r>
        <w:rPr>
          <w:color w:val="000000"/>
        </w:rPr>
        <w:t>2,9</w:t>
      </w:r>
      <w:r w:rsidRPr="00273F14">
        <w:rPr>
          <w:color w:val="000000"/>
        </w:rPr>
        <w:t xml:space="preserve">00,000        </w:t>
      </w:r>
      <w:r w:rsidRPr="00273F14">
        <w:rPr>
          <w:color w:val="000000"/>
        </w:rPr>
        <w:tab/>
        <w:t xml:space="preserve">    $</w:t>
      </w:r>
      <w:r>
        <w:rPr>
          <w:color w:val="000000"/>
        </w:rPr>
        <w:t>42,9</w:t>
      </w:r>
      <w:r w:rsidRPr="00273F14">
        <w:rPr>
          <w:color w:val="000000"/>
        </w:rPr>
        <w:t xml:space="preserve">00,000         </w:t>
      </w:r>
      <w:r w:rsidRPr="00273F14">
        <w:rPr>
          <w:color w:val="000000"/>
        </w:rPr>
        <w:tab/>
        <w:t xml:space="preserve">      </w:t>
      </w:r>
      <w:r>
        <w:rPr>
          <w:color w:val="000000"/>
        </w:rPr>
        <w:t xml:space="preserve">    </w:t>
      </w:r>
      <w:r w:rsidRPr="00273F14">
        <w:rPr>
          <w:color w:val="000000"/>
        </w:rPr>
        <w:t>$0</w:t>
      </w:r>
    </w:p>
    <w:p w:rsidR="0033480F" w:rsidRPr="00273F14" w:rsidRDefault="0033480F" w:rsidP="0033480F">
      <w:pPr>
        <w:keepNext/>
        <w:keepLines/>
        <w:ind w:left="630"/>
        <w:rPr>
          <w:color w:val="000000"/>
        </w:rPr>
      </w:pPr>
    </w:p>
    <w:p w:rsidR="0033480F" w:rsidRDefault="0033480F" w:rsidP="0033480F">
      <w:pPr>
        <w:keepNext/>
        <w:keepLines/>
        <w:autoSpaceDE w:val="0"/>
        <w:autoSpaceDN w:val="0"/>
        <w:adjustRightInd w:val="0"/>
        <w:ind w:left="720"/>
        <w:rPr>
          <w:color w:val="000000"/>
        </w:rPr>
      </w:pPr>
      <w:bookmarkStart w:id="9" w:name="OLE_LINK16"/>
      <w:bookmarkStart w:id="10" w:name="OLE_LINK17"/>
      <w:r>
        <w:rPr>
          <w:color w:val="000000"/>
        </w:rPr>
        <w:t xml:space="preserve">The resources are primarily for the </w:t>
      </w:r>
      <w:r w:rsidRPr="00273F14">
        <w:rPr>
          <w:color w:val="000000"/>
        </w:rPr>
        <w:t>CATS (Consolidated Asset Tracking System)</w:t>
      </w:r>
      <w:r>
        <w:rPr>
          <w:color w:val="000000"/>
        </w:rPr>
        <w:t xml:space="preserve">.  </w:t>
      </w:r>
      <w:r w:rsidRPr="00273F14">
        <w:rPr>
          <w:color w:val="000000"/>
        </w:rPr>
        <w:t>CATS enables access for more than a thousand locations to a central database to perform full asset forfeiture lifecycle tasks more efficiently. It eliminates redundant data capture and provides consistency and standardization for agencies performing similar functions. The system provides current information to field personnel on the status of cases, integrates financial analysis capabilities into the inventory management process, provides the estimation of program income and expenses, and provides the capability for agency and Department managers to review and assess program activity.</w:t>
      </w:r>
    </w:p>
    <w:p w:rsidR="0033480F" w:rsidRDefault="0033480F" w:rsidP="0033480F">
      <w:pPr>
        <w:rPr>
          <w:color w:val="000000"/>
        </w:rPr>
      </w:pPr>
      <w:r>
        <w:rPr>
          <w:color w:val="000000"/>
        </w:rPr>
        <w:br w:type="page"/>
      </w:r>
    </w:p>
    <w:bookmarkEnd w:id="9"/>
    <w:bookmarkEnd w:id="10"/>
    <w:p w:rsidR="0033480F" w:rsidRPr="005063E2" w:rsidRDefault="0033480F" w:rsidP="0033480F">
      <w:pPr>
        <w:pStyle w:val="ListParagraph"/>
        <w:numPr>
          <w:ilvl w:val="0"/>
          <w:numId w:val="28"/>
        </w:numPr>
        <w:tabs>
          <w:tab w:val="left" w:pos="720"/>
        </w:tabs>
        <w:rPr>
          <w:color w:val="000000"/>
        </w:rPr>
      </w:pPr>
      <w:r w:rsidRPr="005063E2">
        <w:rPr>
          <w:color w:val="000000"/>
        </w:rPr>
        <w:lastRenderedPageBreak/>
        <w:t>Training and Printing</w:t>
      </w:r>
    </w:p>
    <w:p w:rsidR="0033480F" w:rsidRPr="005063E2" w:rsidRDefault="0033480F" w:rsidP="0033480F">
      <w:pPr>
        <w:pStyle w:val="ListParagraph"/>
        <w:tabs>
          <w:tab w:val="left" w:pos="720"/>
        </w:tabs>
        <w:ind w:left="360"/>
        <w:rPr>
          <w:color w:val="000000"/>
        </w:rPr>
      </w:pPr>
    </w:p>
    <w:p w:rsidR="0033480F" w:rsidRPr="00273F14" w:rsidRDefault="0033480F" w:rsidP="0033480F">
      <w:pPr>
        <w:ind w:firstLine="720"/>
        <w:rPr>
          <w:color w:val="000000"/>
          <w:u w:val="single"/>
        </w:rPr>
      </w:pP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Pr>
          <w:color w:val="000000"/>
        </w:rPr>
        <w:tab/>
      </w:r>
      <w:r w:rsidRPr="00273F14">
        <w:rPr>
          <w:color w:val="000000"/>
          <w:u w:val="single"/>
        </w:rPr>
        <w:t>Increase/Decrease</w:t>
      </w:r>
    </w:p>
    <w:p w:rsidR="0033480F" w:rsidRPr="00273F14" w:rsidRDefault="0033480F" w:rsidP="0033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2240" w:hanging="12240"/>
        <w:rPr>
          <w:color w:val="000000"/>
        </w:rPr>
      </w:pPr>
      <w:r w:rsidRPr="00273F14">
        <w:rPr>
          <w:color w:val="000000"/>
        </w:rPr>
        <w:t xml:space="preserve">                $1</w:t>
      </w:r>
      <w:r>
        <w:rPr>
          <w:color w:val="000000"/>
        </w:rPr>
        <w:t>2,6</w:t>
      </w:r>
      <w:r w:rsidRPr="00273F14">
        <w:rPr>
          <w:color w:val="000000"/>
        </w:rPr>
        <w:t xml:space="preserve">00,000        </w:t>
      </w:r>
      <w:r w:rsidRPr="00273F14">
        <w:rPr>
          <w:color w:val="000000"/>
        </w:rPr>
        <w:tab/>
        <w:t xml:space="preserve">   $12,</w:t>
      </w:r>
      <w:r>
        <w:rPr>
          <w:color w:val="000000"/>
        </w:rPr>
        <w:t>6</w:t>
      </w:r>
      <w:r w:rsidRPr="00273F14">
        <w:rPr>
          <w:color w:val="000000"/>
        </w:rPr>
        <w:t xml:space="preserve">00,000              </w:t>
      </w:r>
      <w:r>
        <w:rPr>
          <w:color w:val="000000"/>
        </w:rPr>
        <w:tab/>
      </w:r>
      <w:r w:rsidRPr="00273F14">
        <w:rPr>
          <w:color w:val="000000"/>
        </w:rPr>
        <w:t>$0</w:t>
      </w:r>
      <w:r w:rsidRPr="00273F14">
        <w:rPr>
          <w:color w:val="000000"/>
        </w:rPr>
        <w:tab/>
      </w:r>
    </w:p>
    <w:p w:rsidR="0033480F" w:rsidRPr="00273F14" w:rsidRDefault="0033480F" w:rsidP="0033480F">
      <w:pPr>
        <w:rPr>
          <w:color w:val="000000"/>
        </w:rPr>
      </w:pPr>
    </w:p>
    <w:p w:rsidR="0033480F" w:rsidRPr="00273F14" w:rsidRDefault="0033480F" w:rsidP="0033480F">
      <w:pPr>
        <w:ind w:left="720" w:right="630"/>
        <w:rPr>
          <w:color w:val="000000"/>
        </w:rPr>
      </w:pPr>
      <w:r w:rsidRPr="00273F14">
        <w:rPr>
          <w:color w:val="000000"/>
        </w:rPr>
        <w:t xml:space="preserve">This category funds expenses for training personnel on aspects of the federal forfeiture program as well as other training necessary to maintain the competency of federal and contractor personnel dedicated to performing federal forfeiture functions.  </w:t>
      </w:r>
    </w:p>
    <w:p w:rsidR="0033480F" w:rsidRPr="00273F14" w:rsidRDefault="0033480F" w:rsidP="0033480F">
      <w:pPr>
        <w:rPr>
          <w:rFonts w:ascii="Courier" w:hAnsi="Courier"/>
          <w:color w:val="000000"/>
        </w:rPr>
      </w:pPr>
      <w:r w:rsidRPr="00273F14">
        <w:rPr>
          <w:rFonts w:ascii="Courier" w:hAnsi="Courier"/>
          <w:color w:val="000000"/>
        </w:rPr>
        <w:t xml:space="preserve">                                                                               </w:t>
      </w:r>
    </w:p>
    <w:p w:rsidR="0033480F" w:rsidRPr="005063E2" w:rsidRDefault="0033480F" w:rsidP="0033480F">
      <w:pPr>
        <w:pStyle w:val="ListParagraph"/>
        <w:keepNext/>
        <w:numPr>
          <w:ilvl w:val="0"/>
          <w:numId w:val="28"/>
        </w:numPr>
        <w:tabs>
          <w:tab w:val="left" w:pos="720"/>
        </w:tabs>
        <w:rPr>
          <w:color w:val="000000"/>
        </w:rPr>
      </w:pPr>
      <w:r w:rsidRPr="005063E2">
        <w:rPr>
          <w:color w:val="000000"/>
        </w:rPr>
        <w:t>Other Program Management Expenses</w:t>
      </w:r>
    </w:p>
    <w:p w:rsidR="0033480F" w:rsidRPr="005063E2" w:rsidRDefault="0033480F" w:rsidP="0033480F">
      <w:pPr>
        <w:pStyle w:val="ListParagraph"/>
        <w:keepNext/>
        <w:tabs>
          <w:tab w:val="left" w:pos="720"/>
        </w:tabs>
        <w:ind w:left="360"/>
        <w:rPr>
          <w:color w:val="000000"/>
        </w:rPr>
      </w:pPr>
    </w:p>
    <w:p w:rsidR="0033480F" w:rsidRPr="00273F14" w:rsidRDefault="0033480F" w:rsidP="0033480F">
      <w:pPr>
        <w:keepNext/>
        <w:ind w:left="630" w:hanging="630"/>
        <w:rPr>
          <w:color w:val="000000"/>
          <w:u w:val="single"/>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000872E8">
        <w:rPr>
          <w:color w:val="000000"/>
        </w:rPr>
        <w:tab/>
      </w:r>
      <w:r w:rsidRPr="00273F14">
        <w:rPr>
          <w:color w:val="000000"/>
          <w:u w:val="single"/>
        </w:rPr>
        <w:t>Increase/Decrease</w:t>
      </w:r>
    </w:p>
    <w:p w:rsidR="0033480F" w:rsidRPr="00273F14" w:rsidRDefault="0033480F" w:rsidP="0033480F">
      <w:pPr>
        <w:keepNext/>
        <w:ind w:left="630" w:hanging="630"/>
        <w:rPr>
          <w:color w:val="000000"/>
        </w:rPr>
      </w:pPr>
      <w:r w:rsidRPr="00273F14">
        <w:rPr>
          <w:color w:val="000000"/>
        </w:rPr>
        <w:t xml:space="preserve">      </w:t>
      </w:r>
      <w:r w:rsidRPr="00273F14">
        <w:rPr>
          <w:color w:val="000000"/>
        </w:rPr>
        <w:tab/>
        <w:t xml:space="preserve">    $</w:t>
      </w:r>
      <w:r>
        <w:rPr>
          <w:color w:val="000000"/>
        </w:rPr>
        <w:t>61,4</w:t>
      </w:r>
      <w:r w:rsidRPr="00273F14">
        <w:rPr>
          <w:color w:val="000000"/>
        </w:rPr>
        <w:t xml:space="preserve">00,000  </w:t>
      </w:r>
      <w:r w:rsidRPr="00273F14">
        <w:rPr>
          <w:color w:val="000000"/>
        </w:rPr>
        <w:tab/>
        <w:t xml:space="preserve">       $</w:t>
      </w:r>
      <w:r>
        <w:rPr>
          <w:color w:val="000000"/>
        </w:rPr>
        <w:t>61</w:t>
      </w:r>
      <w:r w:rsidRPr="00273F14">
        <w:rPr>
          <w:color w:val="000000"/>
        </w:rPr>
        <w:t>,</w:t>
      </w:r>
      <w:r>
        <w:rPr>
          <w:color w:val="000000"/>
        </w:rPr>
        <w:t>4</w:t>
      </w:r>
      <w:r w:rsidRPr="00273F14">
        <w:rPr>
          <w:color w:val="000000"/>
        </w:rPr>
        <w:t xml:space="preserve">00,000      </w:t>
      </w:r>
      <w:r w:rsidRPr="00273F14">
        <w:rPr>
          <w:color w:val="000000"/>
        </w:rPr>
        <w:tab/>
        <w:t xml:space="preserve">     </w:t>
      </w:r>
      <w:r>
        <w:rPr>
          <w:color w:val="000000"/>
        </w:rPr>
        <w:t xml:space="preserve"> </w:t>
      </w:r>
      <w:r w:rsidRPr="00273F14">
        <w:rPr>
          <w:color w:val="000000"/>
        </w:rPr>
        <w:t>$0</w:t>
      </w:r>
    </w:p>
    <w:p w:rsidR="0033480F" w:rsidRPr="00273F14" w:rsidRDefault="0033480F" w:rsidP="0033480F">
      <w:pPr>
        <w:keepNext/>
        <w:rPr>
          <w:color w:val="000000"/>
        </w:rPr>
      </w:pPr>
    </w:p>
    <w:p w:rsidR="0033480F" w:rsidRPr="00273F14" w:rsidRDefault="0033480F" w:rsidP="0033480F">
      <w:pPr>
        <w:tabs>
          <w:tab w:val="left" w:pos="540"/>
          <w:tab w:val="left" w:pos="720"/>
        </w:tabs>
        <w:ind w:left="720" w:right="630"/>
        <w:rPr>
          <w:color w:val="000000"/>
        </w:rPr>
      </w:pPr>
      <w:r w:rsidRPr="00273F14">
        <w:rPr>
          <w:color w:val="000000"/>
        </w:rPr>
        <w:t xml:space="preserve">This category includes several types of expenses that are important to the overall management of the Asset Forfeiture Program: management analysis, performance assessment, problem analysis, requirements analyses, policy development, and other special projects designed to improve program performance.  Other activities funded under this heading include the annual audit of financial statements of the Assets Forfeiture Fund and the Seized Asset Deposit Fund by an independent accounting firm and special assessments and reviews.  This category also finances the </w:t>
      </w:r>
      <w:r>
        <w:rPr>
          <w:color w:val="000000"/>
        </w:rPr>
        <w:t xml:space="preserve">salaries of the Justice Management Division’s Asset Forfeiture Management Staff, and units of the Criminal Division’s Asset Forfeiture and Money Laundering Section, and other government personnel in agencies that are members of the Fund for activities directly related to the asset forfeiture mission. </w:t>
      </w:r>
      <w:r w:rsidRPr="00273F14">
        <w:rPr>
          <w:color w:val="000000"/>
        </w:rPr>
        <w:t xml:space="preserve">  </w:t>
      </w:r>
    </w:p>
    <w:p w:rsidR="0033480F" w:rsidRPr="00273F14" w:rsidRDefault="0033480F" w:rsidP="0033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2240" w:hanging="12240"/>
        <w:rPr>
          <w:color w:val="000000"/>
        </w:rPr>
      </w:pPr>
      <w:r w:rsidRPr="00273F14">
        <w:rPr>
          <w:color w:val="000000"/>
        </w:rPr>
        <w:t xml:space="preserve">                                                               </w:t>
      </w:r>
      <w:r w:rsidRPr="00273F14">
        <w:rPr>
          <w:color w:val="000000"/>
        </w:rPr>
        <w:tab/>
      </w:r>
      <w:r w:rsidRPr="00273F14">
        <w:rPr>
          <w:color w:val="000000"/>
        </w:rPr>
        <w:tab/>
      </w:r>
      <w:r w:rsidRPr="00273F14">
        <w:rPr>
          <w:color w:val="000000"/>
        </w:rPr>
        <w:tab/>
      </w:r>
      <w:r w:rsidRPr="00273F14">
        <w:rPr>
          <w:color w:val="000000"/>
        </w:rPr>
        <w:tab/>
        <w:t xml:space="preserve"> </w:t>
      </w:r>
    </w:p>
    <w:p w:rsidR="0033480F" w:rsidRPr="005063E2" w:rsidRDefault="0033480F" w:rsidP="0033480F">
      <w:pPr>
        <w:pStyle w:val="ListParagraph"/>
        <w:numPr>
          <w:ilvl w:val="0"/>
          <w:numId w:val="28"/>
        </w:numPr>
        <w:tabs>
          <w:tab w:val="left" w:pos="720"/>
        </w:tabs>
        <w:rPr>
          <w:color w:val="000000"/>
        </w:rPr>
      </w:pPr>
      <w:r w:rsidRPr="005063E2">
        <w:rPr>
          <w:color w:val="000000"/>
        </w:rPr>
        <w:t>Storage, Protection, and Destruction of Controlled Substances</w:t>
      </w:r>
    </w:p>
    <w:p w:rsidR="0033480F" w:rsidRPr="005063E2" w:rsidRDefault="0033480F" w:rsidP="0033480F">
      <w:pPr>
        <w:pStyle w:val="ListParagraph"/>
        <w:tabs>
          <w:tab w:val="left" w:pos="720"/>
        </w:tabs>
        <w:ind w:left="360"/>
        <w:rPr>
          <w:color w:val="000000"/>
        </w:rPr>
      </w:pPr>
    </w:p>
    <w:p w:rsidR="0033480F" w:rsidRPr="00273F14" w:rsidRDefault="0033480F" w:rsidP="0033480F">
      <w:pPr>
        <w:tabs>
          <w:tab w:val="left" w:pos="720"/>
        </w:tabs>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rPr>
          <w:color w:val="000000"/>
        </w:rPr>
      </w:pPr>
      <w:r w:rsidRPr="00273F14">
        <w:rPr>
          <w:color w:val="000000"/>
        </w:rPr>
        <w:tab/>
        <w:t xml:space="preserve">    $1</w:t>
      </w:r>
      <w:r>
        <w:rPr>
          <w:color w:val="000000"/>
        </w:rPr>
        <w:t>0</w:t>
      </w:r>
      <w:r w:rsidRPr="00273F14">
        <w:rPr>
          <w:color w:val="000000"/>
        </w:rPr>
        <w:t>,</w:t>
      </w:r>
      <w:r>
        <w:rPr>
          <w:color w:val="000000"/>
        </w:rPr>
        <w:t>1</w:t>
      </w:r>
      <w:r w:rsidRPr="00273F14">
        <w:rPr>
          <w:color w:val="000000"/>
        </w:rPr>
        <w:t xml:space="preserve">00,000           </w:t>
      </w:r>
      <w:r w:rsidRPr="00273F14">
        <w:rPr>
          <w:color w:val="000000"/>
        </w:rPr>
        <w:tab/>
        <w:t xml:space="preserve">     $</w:t>
      </w:r>
      <w:r>
        <w:rPr>
          <w:color w:val="000000"/>
        </w:rPr>
        <w:t>10,1</w:t>
      </w:r>
      <w:r w:rsidRPr="00273F14">
        <w:rPr>
          <w:color w:val="000000"/>
        </w:rPr>
        <w:t xml:space="preserve">00,000 </w:t>
      </w:r>
      <w:r w:rsidRPr="00273F14">
        <w:rPr>
          <w:color w:val="000000"/>
        </w:rPr>
        <w:tab/>
        <w:t xml:space="preserve">        </w:t>
      </w:r>
      <w:r>
        <w:rPr>
          <w:color w:val="000000"/>
        </w:rPr>
        <w:t xml:space="preserve">  </w:t>
      </w:r>
      <w:r w:rsidRPr="00273F14">
        <w:rPr>
          <w:color w:val="000000"/>
        </w:rPr>
        <w:t>$0</w:t>
      </w:r>
    </w:p>
    <w:p w:rsidR="0033480F" w:rsidRPr="00273F14" w:rsidRDefault="0033480F" w:rsidP="0033480F">
      <w:pPr>
        <w:rPr>
          <w:color w:val="000000"/>
        </w:rPr>
      </w:pPr>
    </w:p>
    <w:p w:rsidR="0033480F" w:rsidRPr="00273F14" w:rsidRDefault="0033480F" w:rsidP="0033480F">
      <w:pPr>
        <w:ind w:left="720" w:right="630"/>
      </w:pPr>
      <w:r w:rsidRPr="00273F14">
        <w:rPr>
          <w:color w:val="000000"/>
        </w:rPr>
        <w:t xml:space="preserve">These expenses are incurred to store, protect and/or destroy controlled substances.  In </w:t>
      </w:r>
      <w:r w:rsidRPr="00273F14">
        <w:t>201</w:t>
      </w:r>
      <w:r>
        <w:t>4</w:t>
      </w:r>
      <w:r w:rsidRPr="00273F14">
        <w:t>, provided sufficient receipts are available, $</w:t>
      </w:r>
      <w:r>
        <w:t>10.1 million is</w:t>
      </w:r>
      <w:r w:rsidRPr="00273F14">
        <w:t xml:space="preserve"> proposed for this expense category.</w:t>
      </w:r>
    </w:p>
    <w:p w:rsidR="0033480F" w:rsidRPr="00273F14" w:rsidRDefault="0033480F" w:rsidP="0033480F">
      <w:pPr>
        <w:pStyle w:val="xl19"/>
        <w:spacing w:before="0" w:after="0"/>
        <w:rPr>
          <w:rFonts w:eastAsia="Times New Roman" w:cs="Arial"/>
          <w:i/>
          <w:iCs/>
          <w:szCs w:val="24"/>
        </w:rPr>
      </w:pPr>
    </w:p>
    <w:p w:rsidR="0033480F" w:rsidRPr="005063E2" w:rsidRDefault="0033480F" w:rsidP="0033480F">
      <w:pPr>
        <w:pStyle w:val="ListParagraph"/>
        <w:keepNext/>
        <w:numPr>
          <w:ilvl w:val="0"/>
          <w:numId w:val="28"/>
        </w:numPr>
        <w:tabs>
          <w:tab w:val="left" w:pos="720"/>
        </w:tabs>
        <w:rPr>
          <w:color w:val="000000"/>
        </w:rPr>
      </w:pPr>
      <w:r w:rsidRPr="005063E2">
        <w:rPr>
          <w:color w:val="000000"/>
        </w:rPr>
        <w:t>Equitable Sharing Payments</w:t>
      </w:r>
    </w:p>
    <w:p w:rsidR="0033480F" w:rsidRPr="005063E2" w:rsidRDefault="0033480F" w:rsidP="0033480F">
      <w:pPr>
        <w:pStyle w:val="ListParagraph"/>
        <w:keepNext/>
        <w:tabs>
          <w:tab w:val="left" w:pos="720"/>
        </w:tabs>
        <w:ind w:left="360"/>
        <w:rPr>
          <w:color w:val="000000"/>
          <w:u w:val="single"/>
        </w:rPr>
      </w:pPr>
    </w:p>
    <w:p w:rsidR="0033480F" w:rsidRPr="00273F14" w:rsidRDefault="0033480F" w:rsidP="0033480F">
      <w:pPr>
        <w:keepNext/>
        <w:ind w:left="360" w:firstLine="360"/>
        <w:rPr>
          <w:color w:val="000000"/>
          <w:u w:val="single"/>
        </w:rPr>
      </w:pP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keepNext/>
        <w:ind w:left="360" w:firstLine="360"/>
        <w:rPr>
          <w:color w:val="000000"/>
        </w:rPr>
      </w:pPr>
      <w:r w:rsidRPr="00273F14">
        <w:rPr>
          <w:color w:val="000000"/>
        </w:rPr>
        <w:t xml:space="preserve">     $43</w:t>
      </w:r>
      <w:r>
        <w:rPr>
          <w:color w:val="000000"/>
        </w:rPr>
        <w:t>5</w:t>
      </w:r>
      <w:r w:rsidRPr="00273F14">
        <w:rPr>
          <w:color w:val="000000"/>
        </w:rPr>
        <w:t>,</w:t>
      </w:r>
      <w:r>
        <w:rPr>
          <w:color w:val="000000"/>
        </w:rPr>
        <w:t>3</w:t>
      </w:r>
      <w:r w:rsidRPr="00273F14">
        <w:rPr>
          <w:color w:val="000000"/>
        </w:rPr>
        <w:t xml:space="preserve">00,000 </w:t>
      </w:r>
      <w:r w:rsidRPr="00273F14">
        <w:rPr>
          <w:color w:val="000000"/>
        </w:rPr>
        <w:tab/>
        <w:t xml:space="preserve">    $4</w:t>
      </w:r>
      <w:r>
        <w:rPr>
          <w:color w:val="000000"/>
        </w:rPr>
        <w:t>00</w:t>
      </w:r>
      <w:r w:rsidRPr="00273F14">
        <w:rPr>
          <w:color w:val="000000"/>
        </w:rPr>
        <w:t>,</w:t>
      </w:r>
      <w:r>
        <w:rPr>
          <w:color w:val="000000"/>
        </w:rPr>
        <w:t>000</w:t>
      </w:r>
      <w:r w:rsidRPr="00273F14">
        <w:rPr>
          <w:color w:val="000000"/>
        </w:rPr>
        <w:t xml:space="preserve">,000        </w:t>
      </w:r>
      <w:r w:rsidRPr="00273F14">
        <w:rPr>
          <w:color w:val="000000"/>
        </w:rPr>
        <w:tab/>
        <w:t xml:space="preserve">          </w:t>
      </w:r>
      <w:r>
        <w:rPr>
          <w:color w:val="000000"/>
        </w:rPr>
        <w:t>-</w:t>
      </w:r>
      <w:r w:rsidRPr="00273F14">
        <w:rPr>
          <w:color w:val="000000"/>
        </w:rPr>
        <w:t>$</w:t>
      </w:r>
      <w:r>
        <w:rPr>
          <w:color w:val="000000"/>
        </w:rPr>
        <w:t>35,3</w:t>
      </w:r>
      <w:r w:rsidRPr="00273F14">
        <w:rPr>
          <w:color w:val="000000"/>
        </w:rPr>
        <w:t>00</w:t>
      </w:r>
      <w:r w:rsidRPr="00273F14">
        <w:rPr>
          <w:color w:val="000000"/>
        </w:rPr>
        <w:tab/>
      </w:r>
    </w:p>
    <w:p w:rsidR="0033480F" w:rsidRPr="00273F14" w:rsidRDefault="0033480F" w:rsidP="0033480F">
      <w:pPr>
        <w:keepNext/>
        <w:ind w:left="360" w:firstLine="360"/>
        <w:rPr>
          <w:color w:val="000000"/>
        </w:rPr>
      </w:pPr>
    </w:p>
    <w:p w:rsidR="0033480F" w:rsidRDefault="0033480F" w:rsidP="0033480F">
      <w:pPr>
        <w:keepNext/>
        <w:ind w:left="720"/>
      </w:pPr>
      <w:r w:rsidRPr="00273F14">
        <w:t xml:space="preserve">These funds are reserved until the receipt of the final forfeiture orders that result in distributions to the participants.  Equitable sharing payments represent the transfer of portions of federally forfeited cash and proceeds from the sale of forfeited property to state and local law enforcement agencies and foreign governments that directly assisted in targeting or seizing the property.  Most task force cases, for example, result in property forfeitures whose proceeds are shared among the participating agencies. </w:t>
      </w:r>
    </w:p>
    <w:p w:rsidR="0033480F" w:rsidRDefault="0033480F" w:rsidP="0033480F">
      <w:r>
        <w:br w:type="page"/>
      </w:r>
    </w:p>
    <w:p w:rsidR="0033480F" w:rsidRPr="005063E2" w:rsidRDefault="0033480F" w:rsidP="0033480F">
      <w:pPr>
        <w:pStyle w:val="ListParagraph"/>
        <w:numPr>
          <w:ilvl w:val="0"/>
          <w:numId w:val="28"/>
        </w:numPr>
        <w:tabs>
          <w:tab w:val="left" w:pos="720"/>
        </w:tabs>
        <w:rPr>
          <w:color w:val="000000"/>
        </w:rPr>
      </w:pPr>
      <w:r w:rsidRPr="005063E2">
        <w:rPr>
          <w:color w:val="000000"/>
        </w:rPr>
        <w:lastRenderedPageBreak/>
        <w:t>Joint Federal/State and Local Law Enforcement Operations</w:t>
      </w:r>
    </w:p>
    <w:p w:rsidR="0033480F" w:rsidRPr="005063E2" w:rsidRDefault="0033480F" w:rsidP="0033480F">
      <w:pPr>
        <w:pStyle w:val="ListParagraph"/>
        <w:tabs>
          <w:tab w:val="left" w:pos="720"/>
        </w:tabs>
        <w:ind w:left="360"/>
        <w:rPr>
          <w:color w:val="000000"/>
        </w:rPr>
      </w:pPr>
    </w:p>
    <w:p w:rsidR="0033480F" w:rsidRPr="00273F14" w:rsidRDefault="0033480F" w:rsidP="0033480F">
      <w:pPr>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Increase/Decrease</w:t>
      </w:r>
    </w:p>
    <w:p w:rsidR="0033480F" w:rsidRPr="00273F14" w:rsidRDefault="0033480F" w:rsidP="0033480F">
      <w:pPr>
        <w:ind w:left="630" w:hanging="630"/>
        <w:rPr>
          <w:color w:val="000000"/>
        </w:rPr>
      </w:pPr>
      <w:r w:rsidRPr="00273F14">
        <w:rPr>
          <w:color w:val="000000"/>
        </w:rPr>
        <w:t xml:space="preserve">    </w:t>
      </w:r>
      <w:r w:rsidRPr="00273F14">
        <w:rPr>
          <w:color w:val="000000"/>
        </w:rPr>
        <w:tab/>
        <w:t xml:space="preserve">      $1</w:t>
      </w:r>
      <w:r>
        <w:rPr>
          <w:color w:val="000000"/>
        </w:rPr>
        <w:t>54,</w:t>
      </w:r>
      <w:r w:rsidR="00BC1304">
        <w:rPr>
          <w:color w:val="000000"/>
        </w:rPr>
        <w:t>700</w:t>
      </w:r>
      <w:r>
        <w:rPr>
          <w:color w:val="000000"/>
        </w:rPr>
        <w:t>,</w:t>
      </w:r>
      <w:r w:rsidRPr="00273F14">
        <w:rPr>
          <w:color w:val="000000"/>
        </w:rPr>
        <w:t xml:space="preserve">000 </w:t>
      </w:r>
      <w:r w:rsidRPr="00273F14">
        <w:rPr>
          <w:color w:val="000000"/>
        </w:rPr>
        <w:tab/>
        <w:t xml:space="preserve">     $</w:t>
      </w:r>
      <w:r w:rsidR="0046775A">
        <w:rPr>
          <w:color w:val="000000"/>
        </w:rPr>
        <w:t>162,</w:t>
      </w:r>
      <w:r w:rsidR="00BC1304">
        <w:rPr>
          <w:color w:val="000000"/>
        </w:rPr>
        <w:t>435</w:t>
      </w:r>
      <w:r w:rsidR="000872E8">
        <w:rPr>
          <w:color w:val="000000"/>
        </w:rPr>
        <w:t>,000</w:t>
      </w:r>
      <w:r w:rsidRPr="00273F14">
        <w:rPr>
          <w:color w:val="000000"/>
        </w:rPr>
        <w:t xml:space="preserve">       </w:t>
      </w:r>
      <w:r w:rsidRPr="00273F14">
        <w:rPr>
          <w:color w:val="000000"/>
        </w:rPr>
        <w:tab/>
        <w:t xml:space="preserve">     </w:t>
      </w:r>
      <w:r>
        <w:rPr>
          <w:color w:val="000000"/>
        </w:rPr>
        <w:t xml:space="preserve"> </w:t>
      </w:r>
      <w:r w:rsidRPr="00273F14">
        <w:rPr>
          <w:color w:val="000000"/>
        </w:rPr>
        <w:t>$</w:t>
      </w:r>
      <w:r w:rsidR="0046775A">
        <w:rPr>
          <w:color w:val="000000"/>
        </w:rPr>
        <w:t>7,73</w:t>
      </w:r>
      <w:r w:rsidR="00BC1304">
        <w:rPr>
          <w:color w:val="000000"/>
        </w:rPr>
        <w:t>5</w:t>
      </w:r>
    </w:p>
    <w:p w:rsidR="0033480F" w:rsidRPr="00273F14" w:rsidRDefault="0033480F" w:rsidP="0033480F">
      <w:pPr>
        <w:rPr>
          <w:color w:val="000000"/>
        </w:rPr>
      </w:pPr>
      <w:r w:rsidRPr="00273F14">
        <w:rPr>
          <w:color w:val="000000"/>
        </w:rPr>
        <w:tab/>
      </w:r>
    </w:p>
    <w:p w:rsidR="0033480F" w:rsidRPr="00273F14" w:rsidRDefault="0033480F" w:rsidP="0033480F">
      <w:pPr>
        <w:pStyle w:val="xl19"/>
        <w:spacing w:before="0" w:after="0"/>
        <w:ind w:left="720"/>
        <w:rPr>
          <w:rFonts w:eastAsia="Times New Roman" w:cs="Arial"/>
          <w:i/>
          <w:iCs/>
          <w:szCs w:val="24"/>
        </w:rPr>
      </w:pPr>
      <w:r w:rsidRPr="00273F14">
        <w:rPr>
          <w:color w:val="000000"/>
        </w:rPr>
        <w:t>Public Law 102-393, referred to as the 1993 Treasury Appropriations Act, amended Title 28 U.S.C.  524(c), enacted new authority for the Fund to pay for "overtime, travel, fuel, training, equipment, and other similar costs of state or local law enforcement officers that are incurred in a joint law enforcement operation with a federal law enforcement agency participating in the Fund."  Such cooperative efforts significant</w:t>
      </w:r>
      <w:r>
        <w:rPr>
          <w:color w:val="000000"/>
        </w:rPr>
        <w:t>ly</w:t>
      </w:r>
      <w:r w:rsidRPr="00273F14">
        <w:rPr>
          <w:color w:val="000000"/>
        </w:rPr>
        <w:t xml:space="preserve"> benefit federal, state, and local law enforcement efforts.</w:t>
      </w:r>
    </w:p>
    <w:p w:rsidR="0033480F" w:rsidRPr="00273F14" w:rsidRDefault="0033480F" w:rsidP="0033480F">
      <w:pPr>
        <w:rPr>
          <w:lang w:val="en-CA"/>
        </w:rPr>
      </w:pPr>
    </w:p>
    <w:p w:rsidR="0033480F" w:rsidRPr="00273F14" w:rsidRDefault="0033480F" w:rsidP="0033480F">
      <w:pPr>
        <w:keepNext/>
        <w:keepLines/>
        <w:rPr>
          <w:color w:val="000000"/>
        </w:rPr>
      </w:pPr>
      <w:r w:rsidRPr="00273F14">
        <w:rPr>
          <w:color w:val="000000"/>
        </w:rPr>
        <w:t>B.  INVESTIGATIVE EXPENSES</w:t>
      </w:r>
    </w:p>
    <w:p w:rsidR="0033480F" w:rsidRPr="00273F14" w:rsidRDefault="0033480F" w:rsidP="0033480F">
      <w:pPr>
        <w:keepNext/>
        <w:keepLines/>
        <w:rPr>
          <w:color w:val="000000"/>
          <w:u w:val="single"/>
        </w:rPr>
      </w:pPr>
    </w:p>
    <w:p w:rsidR="0033480F" w:rsidRPr="00273F14" w:rsidRDefault="0033480F" w:rsidP="0033480F">
      <w:pPr>
        <w:keepNext/>
        <w:keepLines/>
        <w:rPr>
          <w:color w:val="000000"/>
        </w:rPr>
      </w:pPr>
      <w:r w:rsidRPr="00273F14">
        <w:rPr>
          <w:color w:val="000000"/>
          <w:u w:val="single"/>
        </w:rPr>
        <w:t>Definite, Appropriated (discretionary) Authority</w:t>
      </w:r>
    </w:p>
    <w:p w:rsidR="0033480F" w:rsidRPr="00273F14" w:rsidRDefault="0033480F" w:rsidP="0033480F">
      <w:pPr>
        <w:keepNext/>
        <w:keepLines/>
        <w:rPr>
          <w:color w:val="000000"/>
        </w:rPr>
      </w:pPr>
    </w:p>
    <w:p w:rsidR="0033480F" w:rsidRPr="005063E2" w:rsidRDefault="0033480F" w:rsidP="0033480F">
      <w:pPr>
        <w:pStyle w:val="ListParagraph"/>
        <w:keepNext/>
        <w:keepLines/>
        <w:numPr>
          <w:ilvl w:val="0"/>
          <w:numId w:val="32"/>
        </w:numPr>
        <w:tabs>
          <w:tab w:val="left" w:pos="720"/>
        </w:tabs>
        <w:rPr>
          <w:color w:val="000000"/>
        </w:rPr>
      </w:pPr>
      <w:r w:rsidRPr="005063E2">
        <w:rPr>
          <w:color w:val="000000"/>
        </w:rPr>
        <w:t xml:space="preserve">Awards for Information and Purchase of Evidence  </w:t>
      </w:r>
    </w:p>
    <w:p w:rsidR="0033480F" w:rsidRPr="005063E2" w:rsidRDefault="0033480F" w:rsidP="0033480F">
      <w:pPr>
        <w:pStyle w:val="ListParagraph"/>
        <w:keepNext/>
        <w:keepLines/>
        <w:tabs>
          <w:tab w:val="left" w:pos="720"/>
        </w:tabs>
        <w:ind w:left="1080"/>
        <w:rPr>
          <w:color w:val="000000"/>
        </w:rPr>
      </w:pPr>
      <w:r w:rsidRPr="005063E2">
        <w:rPr>
          <w:color w:val="000000"/>
        </w:rPr>
        <w:t xml:space="preserve">  </w:t>
      </w:r>
    </w:p>
    <w:p w:rsidR="0033480F" w:rsidRPr="00273F14" w:rsidRDefault="0033480F" w:rsidP="0033480F">
      <w:pPr>
        <w:keepNext/>
        <w:keepLines/>
        <w:rPr>
          <w:color w:val="000000"/>
        </w:rPr>
      </w:pPr>
      <w:r w:rsidRPr="00273F14">
        <w:rPr>
          <w:color w:val="000000"/>
        </w:rPr>
        <w:t xml:space="preserve">     </w:t>
      </w:r>
      <w:r w:rsidRPr="00273F14">
        <w:rPr>
          <w:color w:val="000000"/>
        </w:rPr>
        <w:tab/>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Pr>
          <w:color w:val="000000"/>
        </w:rPr>
        <w:tab/>
      </w:r>
      <w:r w:rsidRPr="00273F14">
        <w:rPr>
          <w:color w:val="000000"/>
          <w:u w:val="single"/>
        </w:rPr>
        <w:t>Increase/Decrease</w:t>
      </w:r>
    </w:p>
    <w:p w:rsidR="0033480F" w:rsidRPr="00273F14" w:rsidRDefault="0033480F" w:rsidP="0033480F">
      <w:pPr>
        <w:keepNext/>
        <w:keepLines/>
        <w:ind w:left="630" w:hanging="630"/>
        <w:rPr>
          <w:color w:val="000000"/>
        </w:rPr>
      </w:pPr>
      <w:r w:rsidRPr="00273F14">
        <w:rPr>
          <w:color w:val="000000"/>
        </w:rPr>
        <w:t xml:space="preserve">       </w:t>
      </w:r>
      <w:r w:rsidRPr="00273F14">
        <w:rPr>
          <w:color w:val="000000"/>
        </w:rPr>
        <w:tab/>
        <w:t xml:space="preserve">     $20,</w:t>
      </w:r>
      <w:r w:rsidR="00D23185">
        <w:rPr>
          <w:color w:val="000000"/>
        </w:rPr>
        <w:t>526</w:t>
      </w:r>
      <w:r w:rsidRPr="00273F14">
        <w:rPr>
          <w:color w:val="000000"/>
        </w:rPr>
        <w:t xml:space="preserve">,000 </w:t>
      </w:r>
      <w:r w:rsidRPr="00273F14">
        <w:rPr>
          <w:color w:val="000000"/>
        </w:rPr>
        <w:tab/>
      </w:r>
      <w:r w:rsidR="00D23185">
        <w:rPr>
          <w:color w:val="000000"/>
        </w:rPr>
        <w:t xml:space="preserve">     </w:t>
      </w:r>
      <w:r w:rsidRPr="00273F14">
        <w:rPr>
          <w:color w:val="000000"/>
        </w:rPr>
        <w:t>$20,</w:t>
      </w:r>
      <w:r>
        <w:rPr>
          <w:color w:val="000000"/>
        </w:rPr>
        <w:t>398</w:t>
      </w:r>
      <w:r w:rsidRPr="00273F14">
        <w:rPr>
          <w:color w:val="000000"/>
        </w:rPr>
        <w:t xml:space="preserve">,000       </w:t>
      </w:r>
      <w:r w:rsidRPr="00273F14">
        <w:rPr>
          <w:color w:val="000000"/>
        </w:rPr>
        <w:tab/>
        <w:t xml:space="preserve">      </w:t>
      </w:r>
      <w:r w:rsidR="00F852F6">
        <w:rPr>
          <w:color w:val="000000"/>
        </w:rPr>
        <w:t>-</w:t>
      </w:r>
      <w:r w:rsidRPr="00273F14">
        <w:rPr>
          <w:color w:val="000000"/>
        </w:rPr>
        <w:t>$</w:t>
      </w:r>
      <w:r w:rsidR="00F852F6">
        <w:rPr>
          <w:color w:val="000000"/>
        </w:rPr>
        <w:t>128,00</w:t>
      </w:r>
      <w:r w:rsidRPr="00273F14">
        <w:rPr>
          <w:color w:val="000000"/>
        </w:rPr>
        <w:t>0</w:t>
      </w:r>
    </w:p>
    <w:p w:rsidR="0033480F" w:rsidRPr="00273F14" w:rsidRDefault="0033480F" w:rsidP="0033480F">
      <w:pPr>
        <w:keepNext/>
        <w:keepLines/>
        <w:rPr>
          <w:color w:val="000000"/>
        </w:rPr>
      </w:pPr>
      <w:r w:rsidRPr="00273F14">
        <w:rPr>
          <w:color w:val="000000"/>
        </w:rPr>
        <w:tab/>
      </w:r>
    </w:p>
    <w:p w:rsidR="0033480F" w:rsidRPr="00273F14" w:rsidRDefault="0033480F" w:rsidP="0033480F">
      <w:pPr>
        <w:keepNext/>
        <w:keepLines/>
        <w:tabs>
          <w:tab w:val="left" w:pos="720"/>
        </w:tabs>
        <w:ind w:left="720" w:right="630"/>
        <w:rPr>
          <w:rFonts w:ascii="Courier" w:hAnsi="Courier"/>
          <w:color w:val="000000"/>
        </w:rPr>
      </w:pPr>
      <w:r w:rsidRPr="00273F14">
        <w:rPr>
          <w:color w:val="000000"/>
        </w:rPr>
        <w:t xml:space="preserve">Awards payable from the Fund directly support law enforcement efforts by </w:t>
      </w:r>
      <w:r>
        <w:rPr>
          <w:color w:val="000000"/>
        </w:rPr>
        <w:t>furthering</w:t>
      </w:r>
      <w:r w:rsidRPr="00273F14">
        <w:rPr>
          <w:color w:val="000000"/>
        </w:rPr>
        <w:t xml:space="preserve"> the cooperation and assistance of informants.  </w:t>
      </w:r>
      <w:r w:rsidR="00AE713A">
        <w:rPr>
          <w:color w:val="000000"/>
        </w:rPr>
        <w:t>The Program also uses f</w:t>
      </w:r>
      <w:r>
        <w:rPr>
          <w:color w:val="000000"/>
        </w:rPr>
        <w:t xml:space="preserve">unds to </w:t>
      </w:r>
      <w:r w:rsidRPr="00273F14">
        <w:rPr>
          <w:color w:val="000000"/>
        </w:rPr>
        <w:t xml:space="preserve">purchase evidence of </w:t>
      </w:r>
      <w:r>
        <w:rPr>
          <w:color w:val="000000"/>
        </w:rPr>
        <w:t xml:space="preserve">the </w:t>
      </w:r>
      <w:r w:rsidRPr="00273F14">
        <w:rPr>
          <w:color w:val="000000"/>
        </w:rPr>
        <w:t xml:space="preserve">violations of drug laws, Racketeering Influenced and Corrupt Organizations (RICO), and criminal money laundering laws.  </w:t>
      </w:r>
    </w:p>
    <w:p w:rsidR="0033480F" w:rsidRPr="00273F14" w:rsidRDefault="0033480F" w:rsidP="0033480F">
      <w:pPr>
        <w:rPr>
          <w:rFonts w:ascii="Courier" w:hAnsi="Courier"/>
          <w:color w:val="000000"/>
        </w:rPr>
      </w:pPr>
    </w:p>
    <w:p w:rsidR="0033480F" w:rsidRPr="005063E2" w:rsidRDefault="0033480F" w:rsidP="0033480F">
      <w:pPr>
        <w:pStyle w:val="ListParagraph"/>
        <w:numPr>
          <w:ilvl w:val="0"/>
          <w:numId w:val="32"/>
        </w:numPr>
        <w:tabs>
          <w:tab w:val="left" w:pos="720"/>
        </w:tabs>
        <w:rPr>
          <w:color w:val="000000"/>
        </w:rPr>
      </w:pPr>
      <w:r w:rsidRPr="005063E2">
        <w:rPr>
          <w:color w:val="000000"/>
        </w:rPr>
        <w:t xml:space="preserve">Equipping of Conveyances </w:t>
      </w:r>
    </w:p>
    <w:p w:rsidR="0033480F" w:rsidRPr="005063E2" w:rsidRDefault="0033480F" w:rsidP="0033480F">
      <w:pPr>
        <w:pStyle w:val="ListParagraph"/>
        <w:tabs>
          <w:tab w:val="left" w:pos="720"/>
        </w:tabs>
        <w:ind w:left="1080"/>
        <w:rPr>
          <w:color w:val="000000"/>
        </w:rPr>
      </w:pPr>
    </w:p>
    <w:p w:rsidR="0033480F" w:rsidRPr="00273F14" w:rsidRDefault="0033480F" w:rsidP="0033480F">
      <w:pPr>
        <w:ind w:left="630"/>
        <w:rPr>
          <w:color w:val="000000"/>
        </w:rPr>
      </w:pPr>
      <w:r w:rsidRPr="00273F14">
        <w:rPr>
          <w:color w:val="000000"/>
        </w:rPr>
        <w:t xml:space="preserve">  </w:t>
      </w:r>
      <w:r w:rsidRPr="00273F14">
        <w:rPr>
          <w:color w:val="000000"/>
          <w:u w:val="single"/>
        </w:rPr>
        <w:t>FY 201</w:t>
      </w:r>
      <w:r>
        <w:rPr>
          <w:color w:val="000000"/>
          <w:u w:val="single"/>
        </w:rPr>
        <w:t>3</w:t>
      </w:r>
      <w:r w:rsidRPr="00273F14">
        <w:rPr>
          <w:color w:val="000000"/>
          <w:u w:val="single"/>
        </w:rPr>
        <w:t xml:space="preserve"> Estimate</w:t>
      </w:r>
      <w:r w:rsidRPr="00273F14">
        <w:rPr>
          <w:color w:val="000000"/>
        </w:rPr>
        <w:t xml:space="preserve">   </w:t>
      </w:r>
      <w:r w:rsidRPr="00273F14">
        <w:rPr>
          <w:color w:val="000000"/>
        </w:rPr>
        <w:tab/>
      </w:r>
      <w:r w:rsidRPr="00273F14">
        <w:rPr>
          <w:color w:val="000000"/>
          <w:u w:val="single"/>
        </w:rPr>
        <w:t>FY 201</w:t>
      </w:r>
      <w:r>
        <w:rPr>
          <w:color w:val="000000"/>
          <w:u w:val="single"/>
        </w:rPr>
        <w:t>4</w:t>
      </w:r>
      <w:r w:rsidRPr="00273F14">
        <w:rPr>
          <w:color w:val="000000"/>
          <w:u w:val="single"/>
        </w:rPr>
        <w:t xml:space="preserve"> Estimate</w:t>
      </w:r>
      <w:r w:rsidRPr="00273F14">
        <w:rPr>
          <w:color w:val="000000"/>
        </w:rPr>
        <w:t xml:space="preserve">   </w:t>
      </w:r>
      <w:r>
        <w:rPr>
          <w:color w:val="000000"/>
        </w:rPr>
        <w:tab/>
      </w:r>
      <w:r w:rsidRPr="00273F14">
        <w:rPr>
          <w:color w:val="000000"/>
          <w:u w:val="single"/>
        </w:rPr>
        <w:t>Increase/Decrease</w:t>
      </w:r>
    </w:p>
    <w:p w:rsidR="0033480F" w:rsidRPr="00273F14" w:rsidRDefault="0033480F" w:rsidP="0033480F">
      <w:pPr>
        <w:ind w:left="630" w:hanging="630"/>
        <w:rPr>
          <w:color w:val="000000"/>
        </w:rPr>
      </w:pPr>
      <w:r w:rsidRPr="00273F14">
        <w:rPr>
          <w:color w:val="000000"/>
        </w:rPr>
        <w:t xml:space="preserve">       </w:t>
      </w:r>
      <w:r w:rsidRPr="00273F14">
        <w:rPr>
          <w:color w:val="000000"/>
        </w:rPr>
        <w:tab/>
        <w:t xml:space="preserve">    $</w:t>
      </w:r>
      <w:r>
        <w:rPr>
          <w:color w:val="000000"/>
        </w:rPr>
        <w:t>550</w:t>
      </w:r>
      <w:r w:rsidRPr="00273F14">
        <w:rPr>
          <w:color w:val="000000"/>
        </w:rPr>
        <w:t xml:space="preserve">,000  </w:t>
      </w:r>
      <w:r w:rsidRPr="00273F14">
        <w:rPr>
          <w:color w:val="000000"/>
        </w:rPr>
        <w:tab/>
      </w:r>
      <w:r w:rsidRPr="00273F14">
        <w:rPr>
          <w:color w:val="000000"/>
        </w:rPr>
        <w:tab/>
        <w:t xml:space="preserve">     $</w:t>
      </w:r>
      <w:r>
        <w:rPr>
          <w:color w:val="000000"/>
        </w:rPr>
        <w:t>550,000</w:t>
      </w:r>
      <w:r w:rsidRPr="00273F14">
        <w:rPr>
          <w:color w:val="000000"/>
        </w:rPr>
        <w:t xml:space="preserve"> </w:t>
      </w:r>
      <w:r w:rsidRPr="00273F14">
        <w:rPr>
          <w:color w:val="000000"/>
        </w:rPr>
        <w:tab/>
        <w:t xml:space="preserve">                   $0</w:t>
      </w:r>
    </w:p>
    <w:p w:rsidR="0033480F" w:rsidRPr="00273F14" w:rsidRDefault="0033480F" w:rsidP="0033480F">
      <w:pPr>
        <w:rPr>
          <w:color w:val="000000"/>
        </w:rPr>
      </w:pPr>
    </w:p>
    <w:p w:rsidR="0033480F" w:rsidRPr="00273F14" w:rsidRDefault="0033480F" w:rsidP="0033480F">
      <w:pPr>
        <w:keepNext/>
        <w:ind w:left="720"/>
        <w:rPr>
          <w:rFonts w:cs="Arial"/>
        </w:rPr>
        <w:sectPr w:rsidR="0033480F" w:rsidRPr="00273F14" w:rsidSect="00131E9B">
          <w:footerReference w:type="default" r:id="rId10"/>
          <w:pgSz w:w="12240" w:h="15840" w:code="1"/>
          <w:pgMar w:top="1008" w:right="1260" w:bottom="1008" w:left="1440" w:header="432" w:footer="432" w:gutter="0"/>
          <w:cols w:space="720"/>
        </w:sectPr>
      </w:pPr>
      <w:r w:rsidRPr="00273F14">
        <w:rPr>
          <w:color w:val="000000"/>
        </w:rPr>
        <w:t xml:space="preserve">This category provides funding to equip vehicles, vessels or aircraft for law enforcement </w:t>
      </w:r>
      <w:r>
        <w:rPr>
          <w:color w:val="000000"/>
        </w:rPr>
        <w:t>purposes.</w:t>
      </w:r>
    </w:p>
    <w:bookmarkStart w:id="11" w:name="_MON_1235985397"/>
    <w:bookmarkStart w:id="12" w:name="_MON_1235985932"/>
    <w:bookmarkStart w:id="13" w:name="_MON_1236426057"/>
    <w:bookmarkStart w:id="14" w:name="_MON_1236426540"/>
    <w:bookmarkStart w:id="15" w:name="_MON_1236428137"/>
    <w:bookmarkStart w:id="16" w:name="_MON_1236428236"/>
    <w:bookmarkStart w:id="17" w:name="_MON_1236428263"/>
    <w:bookmarkStart w:id="18" w:name="_MON_1236428320"/>
    <w:bookmarkStart w:id="19" w:name="_MON_1236428353"/>
    <w:bookmarkStart w:id="20" w:name="_MON_1246883140"/>
    <w:bookmarkStart w:id="21" w:name="_MON_1246883188"/>
    <w:bookmarkStart w:id="22" w:name="_MON_1246883211"/>
    <w:bookmarkStart w:id="23" w:name="_MON_1248673065"/>
    <w:bookmarkStart w:id="24" w:name="_MON_1248767252"/>
    <w:bookmarkStart w:id="25" w:name="_MON_1248767416"/>
    <w:bookmarkStart w:id="26" w:name="_MON_1248768252"/>
    <w:bookmarkStart w:id="27" w:name="_MON_1248795284"/>
    <w:bookmarkStart w:id="28" w:name="_MON_1248795481"/>
    <w:bookmarkStart w:id="29" w:name="_MON_1250079896"/>
    <w:bookmarkStart w:id="30" w:name="_MON_1261475691"/>
    <w:bookmarkStart w:id="31" w:name="_MON_1261483208"/>
    <w:bookmarkStart w:id="32" w:name="_MON_1261489250"/>
    <w:bookmarkStart w:id="33" w:name="_MON_1262528269"/>
    <w:bookmarkStart w:id="34" w:name="_MON_1297743606"/>
    <w:bookmarkStart w:id="35" w:name="_MON_1297743662"/>
    <w:bookmarkStart w:id="36" w:name="_MON_1297743780"/>
    <w:bookmarkStart w:id="37" w:name="_MON_1324978431"/>
    <w:bookmarkStart w:id="38" w:name="_MON_1324990519"/>
    <w:bookmarkStart w:id="39" w:name="_MON_1324991184"/>
    <w:bookmarkStart w:id="40" w:name="_MON_1325054340"/>
    <w:bookmarkStart w:id="41" w:name="_MON_1357711253"/>
    <w:bookmarkStart w:id="42" w:name="_MON_1358100954"/>
    <w:bookmarkStart w:id="43" w:name="_MON_1358101012"/>
    <w:bookmarkStart w:id="44" w:name="_MON_1358232696"/>
    <w:bookmarkStart w:id="45" w:name="_MON_1388492299"/>
    <w:bookmarkStart w:id="46" w:name="_MON_1388492738"/>
    <w:bookmarkStart w:id="47" w:name="_MON_1388492973"/>
    <w:bookmarkStart w:id="48" w:name="_MON_1388492992"/>
    <w:bookmarkStart w:id="49" w:name="_MON_1388493015"/>
    <w:bookmarkStart w:id="50" w:name="_MON_1388493053"/>
    <w:bookmarkStart w:id="51" w:name="_MON_1388493063"/>
    <w:bookmarkStart w:id="52" w:name="_MON_1388493084"/>
    <w:bookmarkStart w:id="53" w:name="_MON_1388493123"/>
    <w:bookmarkStart w:id="54" w:name="_MON_1388493340"/>
    <w:bookmarkStart w:id="55" w:name="_MON_1388556544"/>
    <w:bookmarkStart w:id="56" w:name="_MON_1388556589"/>
    <w:bookmarkStart w:id="57" w:name="_MON_1388556611"/>
    <w:bookmarkStart w:id="58" w:name="_MON_1388556625"/>
    <w:bookmarkStart w:id="59" w:name="_MON_1144212756"/>
    <w:bookmarkStart w:id="60" w:name="_MON_1144572941"/>
    <w:bookmarkStart w:id="61" w:name="_MON_1174457997"/>
    <w:bookmarkStart w:id="62" w:name="_MON_1174458085"/>
    <w:bookmarkStart w:id="63" w:name="_MON_1174458126"/>
    <w:bookmarkStart w:id="64" w:name="_MON_1174458141"/>
    <w:bookmarkStart w:id="65" w:name="_MON_1175492775"/>
    <w:bookmarkStart w:id="66" w:name="_MON_1175492796"/>
    <w:bookmarkStart w:id="67" w:name="_MON_1175492832"/>
    <w:bookmarkStart w:id="68" w:name="_MON_1202730921"/>
    <w:bookmarkStart w:id="69" w:name="_MON_1205587662"/>
    <w:bookmarkStart w:id="70" w:name="_MON_1205587764"/>
    <w:bookmarkStart w:id="71" w:name="_MON_1235814947"/>
    <w:bookmarkStart w:id="72" w:name="_MON_1235815146"/>
    <w:bookmarkStart w:id="73" w:name="_MON_1235815195"/>
    <w:bookmarkStart w:id="74" w:name="_MON_1235827328"/>
    <w:bookmarkStart w:id="75" w:name="_MON_1425798138"/>
    <w:bookmarkStart w:id="76" w:name="_MON_1235827496"/>
    <w:bookmarkStart w:id="77" w:name="_MON_1235827579"/>
    <w:bookmarkStart w:id="78" w:name="_MON_1235827644"/>
    <w:bookmarkStart w:id="79" w:name="_MON_1235985047"/>
    <w:bookmarkStart w:id="80" w:name="_MON_1235985086"/>
    <w:bookmarkStart w:id="81" w:name="_MON_123598517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MON_1235985362"/>
    <w:bookmarkEnd w:id="82"/>
    <w:p w:rsidR="0033480F" w:rsidRPr="00273F14" w:rsidRDefault="00396EBE" w:rsidP="0033480F">
      <w:pPr>
        <w:jc w:val="center"/>
        <w:rPr>
          <w:i/>
          <w:iCs/>
        </w:rPr>
      </w:pPr>
      <w:r w:rsidRPr="00273F14">
        <w:rPr>
          <w:i/>
          <w:iCs/>
        </w:rPr>
        <w:object w:dxaOrig="13977" w:dyaOrig="12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46.5pt" o:ole="">
            <v:imagedata r:id="rId11" o:title="" cropbottom="22934f" cropright="8602f"/>
          </v:shape>
          <o:OLEObject Type="Embed" ProgID="Excel.Sheet.8" ShapeID="_x0000_i1025" DrawAspect="Content" ObjectID="_1426933917" r:id="rId12"/>
        </w:object>
      </w:r>
      <w:r w:rsidR="0033480F" w:rsidRPr="00273F14">
        <w:rPr>
          <w:i/>
          <w:iCs/>
        </w:rPr>
        <w:br w:type="page"/>
      </w:r>
    </w:p>
    <w:p w:rsidR="0033480F" w:rsidRPr="00273F14" w:rsidRDefault="00565CB6" w:rsidP="00396EBE">
      <w:pPr>
        <w:tabs>
          <w:tab w:val="left" w:pos="13140"/>
        </w:tabs>
        <w:jc w:val="center"/>
        <w:rPr>
          <w:sz w:val="16"/>
        </w:rPr>
      </w:pPr>
      <w:r>
        <w:rPr>
          <w:noProof/>
          <w:sz w:val="16"/>
        </w:rPr>
        <w:lastRenderedPageBreak/>
        <w:pict>
          <v:shape id="_x0000_s1028" type="#_x0000_t75" style="position:absolute;left:0;text-align:left;margin-left:15.9pt;margin-top:-42.3pt;width:494.3pt;height:263.3pt;z-index:251659264">
            <v:imagedata r:id="rId13" o:title=""/>
          </v:shape>
          <o:OLEObject Type="Embed" ProgID="Excel.Sheet.8" ShapeID="_x0000_s1028" DrawAspect="Content" ObjectID="_1426933918" r:id="rId14"/>
        </w:pict>
      </w:r>
    </w:p>
    <w:p w:rsidR="0033480F" w:rsidRPr="00273F14" w:rsidRDefault="0033480F" w:rsidP="0033480F">
      <w:pPr>
        <w:rPr>
          <w:sz w:val="16"/>
        </w:rPr>
      </w:pPr>
    </w:p>
    <w:p w:rsidR="0033480F" w:rsidRPr="00273F14" w:rsidRDefault="0033480F" w:rsidP="0033480F">
      <w:pPr>
        <w:ind w:firstLine="720"/>
        <w:rPr>
          <w:b/>
          <w:bCs/>
          <w:sz w:val="36"/>
        </w:rPr>
      </w:pPr>
    </w:p>
    <w:p w:rsidR="0033480F" w:rsidRPr="00273F14" w:rsidRDefault="0033480F" w:rsidP="0033480F">
      <w:pPr>
        <w:rPr>
          <w:b/>
          <w:bCs/>
          <w:sz w:val="36"/>
        </w:rPr>
      </w:pPr>
    </w:p>
    <w:p w:rsidR="0033480F" w:rsidRPr="00273F14" w:rsidRDefault="0033480F" w:rsidP="0033480F">
      <w:pPr>
        <w:rPr>
          <w:sz w:val="16"/>
        </w:rPr>
      </w:pPr>
    </w:p>
    <w:p w:rsidR="0033480F" w:rsidRPr="00273F14" w:rsidRDefault="0033480F" w:rsidP="0033480F">
      <w:pPr>
        <w:rPr>
          <w:sz w:val="16"/>
        </w:rPr>
        <w:sectPr w:rsidR="0033480F" w:rsidRPr="00273F14" w:rsidSect="006A30E2">
          <w:pgSz w:w="15840" w:h="12240" w:orient="landscape" w:code="1"/>
          <w:pgMar w:top="1440" w:right="1152" w:bottom="1440" w:left="1152" w:header="432" w:footer="432" w:gutter="0"/>
          <w:cols w:space="720"/>
        </w:sectPr>
      </w:pPr>
    </w:p>
    <w:p w:rsidR="0033480F" w:rsidRPr="00273F14" w:rsidRDefault="0033480F" w:rsidP="0033480F">
      <w:pPr>
        <w:keepNext/>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F14">
        <w:rPr>
          <w:color w:val="000000"/>
          <w:u w:val="single"/>
        </w:rPr>
        <w:lastRenderedPageBreak/>
        <w:t>Data Definitions</w:t>
      </w:r>
    </w:p>
    <w:p w:rsidR="0033480F" w:rsidRPr="00273F14" w:rsidRDefault="0033480F" w:rsidP="0033480F">
      <w:pPr>
        <w:keepNext/>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F14">
        <w:rPr>
          <w:b/>
          <w:color w:val="000000"/>
        </w:rPr>
        <w:t>FTE.</w:t>
      </w:r>
      <w:r w:rsidRPr="00273F14">
        <w:rPr>
          <w:color w:val="000000"/>
        </w:rPr>
        <w:t xml:space="preserve">  The AFP reimburses the USMS for the salaries of administrative personnel responsible for the AFP’s property custodial functions, but their associated FTE’s reside in the USMS accounts.  Similarly, the AFP reimburses the Criminal Division for AFMLS FTE. AFMS is authorized 23 FTE, which are paid directly from the AFP’s mandatory account.  </w:t>
      </w: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F14">
        <w:rPr>
          <w:b/>
          <w:color w:val="000000"/>
        </w:rPr>
        <w:t>Funding.</w:t>
      </w:r>
      <w:r w:rsidRPr="00273F14">
        <w:rPr>
          <w:color w:val="000000"/>
        </w:rPr>
        <w:t xml:space="preserve">  The source of AFP funds is from the receipts realized by the AFF in the respective years.  Because the AFF is a permanent indefinite fund it may fund Program activities from the unobligated balances carried forward from prior years. </w:t>
      </w: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F14">
        <w:rPr>
          <w:b/>
          <w:color w:val="000000"/>
        </w:rPr>
        <w:t>Performance</w:t>
      </w:r>
      <w:r w:rsidRPr="00273F14">
        <w:rPr>
          <w:color w:val="000000"/>
        </w:rPr>
        <w:t xml:space="preserve">.  One of the tasks of the Program managers is to project Program activities.  As a result of a reevaluation of the Program’s performance measures, in 2001 the indicators were changed to more accurately reflect the activities of the Program administrators rather than the Program participants.   </w:t>
      </w: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bookmarkStart w:id="83" w:name="OLE_LINK18"/>
      <w:bookmarkStart w:id="84" w:name="OLE_LINK19"/>
      <w:r w:rsidRPr="00273F14">
        <w:rPr>
          <w:b/>
        </w:rPr>
        <w:t>Performance Measure 1, 2 and 3</w:t>
      </w:r>
      <w:r w:rsidRPr="00273F14">
        <w:rPr>
          <w:color w:val="000000"/>
        </w:rPr>
        <w:t xml:space="preserve">.  CATS, Business Objects, and SharePoint services are available to participating AFP customers from 8:00 a.m. to 8:00 p.m., Eastern Standard Time, Monday through Friday, excluding all </w:t>
      </w:r>
      <w:r w:rsidR="00412FAD">
        <w:rPr>
          <w:color w:val="000000"/>
        </w:rPr>
        <w:t>f</w:t>
      </w:r>
      <w:r w:rsidRPr="00273F14">
        <w:rPr>
          <w:color w:val="000000"/>
        </w:rPr>
        <w:t>ederal holidays and/or local government closures.  Normally scheduled maintenance outages are conducted during non-operational hours (weekends, holidays, and off-hours).  Emergency outages and system failures occurring during the core operational hours will impact availability to its customer base, affecting all three performance measures.  For fiscal years 201</w:t>
      </w:r>
      <w:r w:rsidR="000E4A57">
        <w:rPr>
          <w:color w:val="000000"/>
        </w:rPr>
        <w:t>3</w:t>
      </w:r>
      <w:r w:rsidRPr="00273F14">
        <w:rPr>
          <w:color w:val="000000"/>
        </w:rPr>
        <w:t xml:space="preserve"> and 201</w:t>
      </w:r>
      <w:r w:rsidR="000E4A57">
        <w:rPr>
          <w:color w:val="000000"/>
        </w:rPr>
        <w:t>4</w:t>
      </w:r>
      <w:r w:rsidRPr="00273F14">
        <w:rPr>
          <w:color w:val="000000"/>
        </w:rPr>
        <w:t>, the total number of core supported hours is approximately 3,000.  The goal is to provide 99.8 percent availability to customers.</w:t>
      </w:r>
    </w:p>
    <w:bookmarkEnd w:id="83"/>
    <w:bookmarkEnd w:id="84"/>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33480F" w:rsidRPr="00273F14" w:rsidRDefault="0033480F" w:rsidP="0033480F">
      <w:pPr>
        <w:tabs>
          <w:tab w:val="left" w:pos="-10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F14">
        <w:rPr>
          <w:b/>
          <w:bCs/>
          <w:color w:val="000000"/>
        </w:rPr>
        <w:t>2013 Performance Plan</w:t>
      </w:r>
      <w:r w:rsidRPr="00273F14">
        <w:rPr>
          <w:color w:val="000000"/>
        </w:rPr>
        <w:t>.  The 201</w:t>
      </w:r>
      <w:r w:rsidR="000E4A57">
        <w:rPr>
          <w:color w:val="000000"/>
        </w:rPr>
        <w:t>4</w:t>
      </w:r>
      <w:r w:rsidRPr="00273F14">
        <w:rPr>
          <w:color w:val="000000"/>
        </w:rPr>
        <w:t xml:space="preserve"> plan entails supporting law enforcement authorities in the application of specific forfeiture statutes to prevent and reduce crime by the efficient and timely allocation of resources to cover the costs of an effective Asset Forfeiture Program.</w:t>
      </w:r>
    </w:p>
    <w:p w:rsidR="0033480F" w:rsidRPr="00273F14" w:rsidRDefault="0033480F" w:rsidP="0033480F"/>
    <w:p w:rsidR="0033480F" w:rsidRPr="00273F14" w:rsidRDefault="0033480F" w:rsidP="0033480F">
      <w:pPr>
        <w:rPr>
          <w:b/>
          <w:bCs/>
          <w:szCs w:val="20"/>
        </w:rPr>
      </w:pPr>
      <w:r w:rsidRPr="00273F14">
        <w:rPr>
          <w:b/>
          <w:bCs/>
          <w:szCs w:val="20"/>
        </w:rPr>
        <w:t>2.   Performance, Resources, and Strategies</w:t>
      </w:r>
    </w:p>
    <w:p w:rsidR="0033480F" w:rsidRPr="00273F14" w:rsidRDefault="0033480F" w:rsidP="0033480F">
      <w:pPr>
        <w:rPr>
          <w:b/>
          <w:bCs/>
          <w:szCs w:val="20"/>
        </w:rPr>
      </w:pPr>
    </w:p>
    <w:p w:rsidR="0033480F" w:rsidRPr="00273F14" w:rsidRDefault="0033480F" w:rsidP="0033480F">
      <w:pPr>
        <w:rPr>
          <w:b/>
          <w:bCs/>
          <w:color w:val="000000"/>
          <w:szCs w:val="20"/>
        </w:rPr>
      </w:pPr>
      <w:r w:rsidRPr="00273F14">
        <w:rPr>
          <w:b/>
          <w:bCs/>
          <w:color w:val="000000"/>
          <w:szCs w:val="20"/>
        </w:rPr>
        <w:t>The Program contributes to the Department’s Strategic Goal 2: Prevent Crime, Protect the Rights of the American People, and Enforce Federal Law.</w:t>
      </w:r>
    </w:p>
    <w:p w:rsidR="0033480F" w:rsidRPr="00273F14" w:rsidRDefault="0033480F" w:rsidP="0033480F">
      <w:pPr>
        <w:rPr>
          <w:b/>
          <w:bCs/>
          <w:color w:val="000000"/>
          <w:szCs w:val="20"/>
        </w:rPr>
      </w:pPr>
    </w:p>
    <w:p w:rsidR="0033480F" w:rsidRPr="00273F14" w:rsidRDefault="0033480F" w:rsidP="0033480F">
      <w:pPr>
        <w:rPr>
          <w:color w:val="000000"/>
        </w:rPr>
      </w:pPr>
      <w:r w:rsidRPr="00273F14">
        <w:rPr>
          <w:b/>
          <w:bCs/>
          <w:color w:val="000000"/>
        </w:rPr>
        <w:t xml:space="preserve"> </w:t>
      </w:r>
      <w:r w:rsidRPr="00273F14">
        <w:rPr>
          <w:color w:val="000000"/>
        </w:rPr>
        <w:t xml:space="preserve">To better manage resources, the Asset Forfeiture Program’s strategic approach will continue to (1) require a strong intelligence function that provides all-source information on target organizations to permit the assessment of vulnerabilities and the identification of key structural assets; (2) transcend specific cases to coordinate and target enforcement actions against the vulnerabilities of the underlying criminal organization; and (3) focus on removal of the assets that are key to the functionality and viability of the criminal organization.  Special emphasis is placed on </w:t>
      </w:r>
      <w:r w:rsidR="00D94695">
        <w:rPr>
          <w:color w:val="000000"/>
        </w:rPr>
        <w:t>innovative</w:t>
      </w:r>
      <w:r w:rsidRPr="00273F14">
        <w:rPr>
          <w:color w:val="000000"/>
        </w:rPr>
        <w:t xml:space="preserve"> ways to use the proceeds of asset forfeiture, in conjunction with other funds available to our investigative and prosecutive offices, to support operations that focus on the disruption and destruction of criminal organizations and not merely on the conviction of individuals and forfeiture of their personal property.</w:t>
      </w:r>
    </w:p>
    <w:p w:rsidR="0033480F" w:rsidRPr="00273F14" w:rsidRDefault="0033480F" w:rsidP="0033480F">
      <w:pPr>
        <w:rPr>
          <w:szCs w:val="20"/>
        </w:rPr>
      </w:pPr>
    </w:p>
    <w:p w:rsidR="0033480F" w:rsidRPr="00273F14" w:rsidRDefault="0033480F" w:rsidP="0033480F">
      <w:pPr>
        <w:ind w:firstLine="360"/>
        <w:rPr>
          <w:rFonts w:cs="Arial"/>
          <w:b/>
          <w:bCs/>
          <w:szCs w:val="20"/>
        </w:rPr>
      </w:pPr>
      <w:r w:rsidRPr="00273F14">
        <w:rPr>
          <w:rFonts w:cs="Arial"/>
          <w:b/>
          <w:bCs/>
          <w:szCs w:val="20"/>
        </w:rPr>
        <w:t xml:space="preserve">a. </w:t>
      </w:r>
      <w:r w:rsidRPr="00273F14">
        <w:rPr>
          <w:rFonts w:cs="Arial"/>
          <w:b/>
          <w:bCs/>
          <w:szCs w:val="20"/>
        </w:rPr>
        <w:tab/>
        <w:t xml:space="preserve">  Performance Plan and Report for Outcomes</w:t>
      </w:r>
    </w:p>
    <w:p w:rsidR="0033480F" w:rsidRPr="00273F14" w:rsidRDefault="0033480F" w:rsidP="0033480F">
      <w:pPr>
        <w:rPr>
          <w:szCs w:val="20"/>
        </w:rPr>
      </w:pPr>
    </w:p>
    <w:p w:rsidR="0033480F" w:rsidRPr="00273F14" w:rsidRDefault="0033480F" w:rsidP="0033480F">
      <w:r w:rsidRPr="00273F14">
        <w:t xml:space="preserve">As illustrated in the preceding Performance and Resources Table, the performance measure addresses performance only by the AFMS.  While the performance measure is internal to the AFMS, Strategic Goal 2 is the Program’s supra-objective.  Through stakeholder meetings, employee meetings and internal reviews, the Program has identified many of the issues that must </w:t>
      </w:r>
      <w:r w:rsidRPr="00273F14">
        <w:lastRenderedPageBreak/>
        <w:t xml:space="preserve">be addressed to enable it and the Nation’s law enforcement community to meet the challenges of the war on drugs.  Continued progress towards implementation will enable the Program to improve the Nation’s effectiveness in the war on drugs.  </w:t>
      </w:r>
    </w:p>
    <w:p w:rsidR="0033480F" w:rsidRPr="00273F14" w:rsidRDefault="0033480F" w:rsidP="0033480F">
      <w:pPr>
        <w:rPr>
          <w:color w:val="000000"/>
        </w:rPr>
      </w:pPr>
    </w:p>
    <w:p w:rsidR="0033480F" w:rsidRPr="00273F14" w:rsidRDefault="0033480F" w:rsidP="0033480F">
      <w:pPr>
        <w:rPr>
          <w:color w:val="000000"/>
          <w:szCs w:val="20"/>
        </w:rPr>
      </w:pPr>
      <w:r w:rsidRPr="00273F14">
        <w:rPr>
          <w:color w:val="000000"/>
          <w:szCs w:val="20"/>
        </w:rPr>
        <w:t>The challenge of using the asset forfeiture sanction more fully requires the dedication of greater human resources to the development of the financial aspects of criminal operations.  Continuing education in conducting financial investigations, tracing assets, presenting financial evidence in court, and managing and disposing of sophisticated properties is needed to develop and support experienced law enforcement professionals capable of dismantling criminal enterprises.  The increasing use of sophisticated technology by criminals and the relative ease of operating across international boundaries also present special challenges for law enforcement that must be met if the power of the asset forfeiture sanction is to be realized.  The Department will continue to seek opportunities to use asset</w:t>
      </w:r>
      <w:r w:rsidR="000E4A57">
        <w:rPr>
          <w:color w:val="000000"/>
          <w:szCs w:val="20"/>
        </w:rPr>
        <w:t>s</w:t>
      </w:r>
      <w:r w:rsidRPr="00273F14">
        <w:rPr>
          <w:color w:val="000000"/>
          <w:szCs w:val="20"/>
        </w:rPr>
        <w:t xml:space="preserve"> forfeiture fund to advance the ability of our investigators, prosecutors, and other professionals to meet these challenges successfully.</w:t>
      </w:r>
    </w:p>
    <w:p w:rsidR="0033480F" w:rsidRPr="00273F14" w:rsidRDefault="0033480F" w:rsidP="0033480F">
      <w:pPr>
        <w:rPr>
          <w:color w:val="000000"/>
        </w:rPr>
      </w:pPr>
    </w:p>
    <w:p w:rsidR="0033480F" w:rsidRPr="00273F14" w:rsidRDefault="0033480F" w:rsidP="0033480F">
      <w:pPr>
        <w:keepNext/>
        <w:ind w:firstLine="360"/>
        <w:rPr>
          <w:rFonts w:cs="Arial"/>
          <w:b/>
          <w:bCs/>
          <w:szCs w:val="20"/>
        </w:rPr>
      </w:pPr>
      <w:r w:rsidRPr="00273F14">
        <w:rPr>
          <w:rFonts w:cs="Arial"/>
          <w:b/>
          <w:bCs/>
          <w:szCs w:val="20"/>
        </w:rPr>
        <w:t>b.</w:t>
      </w:r>
      <w:r w:rsidRPr="00273F14">
        <w:rPr>
          <w:rFonts w:cs="Arial"/>
          <w:b/>
          <w:bCs/>
          <w:szCs w:val="20"/>
        </w:rPr>
        <w:tab/>
        <w:t xml:space="preserve">  Strategies to Accomplish Outcomes</w:t>
      </w:r>
    </w:p>
    <w:p w:rsidR="0033480F" w:rsidRPr="00273F14" w:rsidRDefault="0033480F" w:rsidP="0033480F">
      <w:pPr>
        <w:keepNext/>
        <w:keepLines/>
        <w:rPr>
          <w:lang w:val="en-CA"/>
        </w:rPr>
      </w:pPr>
    </w:p>
    <w:p w:rsidR="0033480F" w:rsidRPr="00273F14" w:rsidRDefault="0033480F" w:rsidP="0033480F">
      <w:pPr>
        <w:keepNext/>
        <w:rPr>
          <w:i/>
          <w:iCs/>
          <w:szCs w:val="20"/>
        </w:rPr>
      </w:pPr>
      <w:r w:rsidRPr="00273F14">
        <w:rPr>
          <w:color w:val="000000"/>
          <w:szCs w:val="20"/>
        </w:rPr>
        <w:t xml:space="preserve">The performance indicators are for the AFMS, the participant with management control of the Fund.  In its role, AFMS supports law enforcement authorities in their seizure and forfeiture activities by providing funding for their accessibility to CATS.  The Asset Forfeiture Program is executed by its member agencies and their performance is reported under their leadership’s guidance.  </w:t>
      </w:r>
    </w:p>
    <w:p w:rsidR="0033480F" w:rsidRPr="00273F14" w:rsidRDefault="0033480F" w:rsidP="0033480F">
      <w:pPr>
        <w:rPr>
          <w:szCs w:val="20"/>
        </w:rPr>
      </w:pPr>
    </w:p>
    <w:p w:rsidR="0033480F" w:rsidRPr="00273F14" w:rsidRDefault="0033480F" w:rsidP="0033480F">
      <w:pPr>
        <w:pStyle w:val="BodyText"/>
      </w:pPr>
    </w:p>
    <w:p w:rsidR="0033480F" w:rsidRPr="00273F14" w:rsidRDefault="0033480F" w:rsidP="0033480F">
      <w:pPr>
        <w:pStyle w:val="BodyText"/>
      </w:pPr>
    </w:p>
    <w:p w:rsidR="0033480F" w:rsidRPr="00273F14" w:rsidRDefault="0033480F" w:rsidP="0033480F">
      <w:pPr>
        <w:rPr>
          <w:rFonts w:ascii="Arial" w:hAnsi="Arial"/>
        </w:rPr>
      </w:pPr>
    </w:p>
    <w:p w:rsidR="0033480F" w:rsidRPr="00273F14" w:rsidRDefault="0033480F" w:rsidP="0033480F">
      <w:pPr>
        <w:pStyle w:val="BodyText"/>
        <w:rPr>
          <w:sz w:val="36"/>
        </w:rPr>
      </w:pPr>
      <w:r w:rsidRPr="00273F14">
        <w:br w:type="page"/>
      </w:r>
    </w:p>
    <w:p w:rsidR="0033480F" w:rsidRDefault="0033480F" w:rsidP="0033480F">
      <w:pPr>
        <w:pStyle w:val="Footer"/>
        <w:tabs>
          <w:tab w:val="clear" w:pos="8640"/>
          <w:tab w:val="left" w:leader="dot" w:pos="4320"/>
        </w:tabs>
        <w:jc w:val="center"/>
        <w:rPr>
          <w:rFonts w:ascii="Times New Roman" w:hAnsi="Times New Roman"/>
          <w:sz w:val="36"/>
          <w:szCs w:val="36"/>
        </w:rPr>
      </w:pPr>
      <w:r w:rsidRPr="00273F14">
        <w:rPr>
          <w:rFonts w:ascii="Times New Roman" w:hAnsi="Times New Roman"/>
          <w:sz w:val="36"/>
          <w:szCs w:val="36"/>
        </w:rPr>
        <w:lastRenderedPageBreak/>
        <w:t>V.  EXHIBITS</w:t>
      </w:r>
    </w:p>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49647F" w:rsidRDefault="0033480F" w:rsidP="0033480F"/>
    <w:p w:rsidR="0033480F" w:rsidRPr="005867F3" w:rsidRDefault="0033480F" w:rsidP="0033480F">
      <w:pPr>
        <w:tabs>
          <w:tab w:val="left" w:pos="1485"/>
        </w:tabs>
      </w:pPr>
    </w:p>
    <w:p w:rsidR="0049647F" w:rsidRPr="0049647F" w:rsidRDefault="0049647F" w:rsidP="0033480F">
      <w:pPr>
        <w:pStyle w:val="BodyText"/>
      </w:pPr>
    </w:p>
    <w:sectPr w:rsidR="0049647F" w:rsidRPr="0049647F" w:rsidSect="0033480F">
      <w:headerReference w:type="even" r:id="rId15"/>
      <w:headerReference w:type="default" r:id="rId16"/>
      <w:headerReference w:type="first" r:id="rId17"/>
      <w:pgSz w:w="12240" w:h="15840" w:code="1"/>
      <w:pgMar w:top="1008" w:right="1260" w:bottom="1008"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645" w:rsidRDefault="00861645">
      <w:r>
        <w:separator/>
      </w:r>
    </w:p>
  </w:endnote>
  <w:endnote w:type="continuationSeparator" w:id="0">
    <w:p w:rsidR="00861645" w:rsidRDefault="0086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 Printer 16.67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45" w:rsidRDefault="00861645">
    <w:pPr>
      <w:pStyle w:val="Header"/>
      <w:jc w:val="center"/>
      <w:rPr>
        <w:rFonts w:ascii="Times New Roman" w:hAnsi="Times New Roman"/>
        <w:b/>
      </w:rPr>
    </w:pPr>
  </w:p>
  <w:p w:rsidR="00861645" w:rsidRDefault="00861645">
    <w:pPr>
      <w:pStyle w:val="Header"/>
      <w:jc w:val="center"/>
      <w:rPr>
        <w:rFonts w:ascii="Times New Roman" w:hAnsi="Times New Roman"/>
        <w:b/>
      </w:rPr>
    </w:pPr>
  </w:p>
  <w:p w:rsidR="00861645" w:rsidRDefault="00861645">
    <w:pPr>
      <w:pStyle w:val="Header"/>
    </w:pPr>
    <w:r>
      <w:rPr>
        <w:rFonts w:ascii="Arial" w:hAnsi="Arial" w:cs="Arial"/>
        <w:bCs/>
        <w:sz w:val="16"/>
      </w:rPr>
      <w:tab/>
    </w:r>
    <w:r>
      <w:rPr>
        <w:rFonts w:ascii="Arial" w:hAnsi="Arial" w:cs="Arial"/>
        <w:bCs/>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07034"/>
      <w:docPartObj>
        <w:docPartGallery w:val="Page Numbers (Bottom of Page)"/>
        <w:docPartUnique/>
      </w:docPartObj>
    </w:sdtPr>
    <w:sdtEndPr>
      <w:rPr>
        <w:rFonts w:ascii="Times New Roman" w:hAnsi="Times New Roman"/>
        <w:noProof/>
        <w:sz w:val="24"/>
        <w:szCs w:val="24"/>
      </w:rPr>
    </w:sdtEndPr>
    <w:sdtContent>
      <w:p w:rsidR="00861645" w:rsidRPr="002E0440" w:rsidRDefault="00861645">
        <w:pPr>
          <w:pStyle w:val="Footer"/>
          <w:jc w:val="center"/>
          <w:rPr>
            <w:rFonts w:ascii="Times New Roman" w:hAnsi="Times New Roman"/>
            <w:sz w:val="24"/>
            <w:szCs w:val="24"/>
          </w:rPr>
        </w:pPr>
        <w:r w:rsidRPr="002E0440">
          <w:rPr>
            <w:rFonts w:ascii="Times New Roman" w:hAnsi="Times New Roman"/>
            <w:sz w:val="24"/>
            <w:szCs w:val="24"/>
          </w:rPr>
          <w:fldChar w:fldCharType="begin"/>
        </w:r>
        <w:r w:rsidRPr="002E0440">
          <w:rPr>
            <w:rFonts w:ascii="Times New Roman" w:hAnsi="Times New Roman"/>
            <w:sz w:val="24"/>
            <w:szCs w:val="24"/>
          </w:rPr>
          <w:instrText xml:space="preserve"> PAGE   \* MERGEFORMAT </w:instrText>
        </w:r>
        <w:r w:rsidRPr="002E0440">
          <w:rPr>
            <w:rFonts w:ascii="Times New Roman" w:hAnsi="Times New Roman"/>
            <w:sz w:val="24"/>
            <w:szCs w:val="24"/>
          </w:rPr>
          <w:fldChar w:fldCharType="separate"/>
        </w:r>
        <w:r w:rsidR="00565CB6">
          <w:rPr>
            <w:rFonts w:ascii="Times New Roman" w:hAnsi="Times New Roman"/>
            <w:noProof/>
            <w:sz w:val="24"/>
            <w:szCs w:val="24"/>
          </w:rPr>
          <w:t>5</w:t>
        </w:r>
        <w:r w:rsidRPr="002E0440">
          <w:rPr>
            <w:rFonts w:ascii="Times New Roman" w:hAnsi="Times New Roman"/>
            <w:noProof/>
            <w:sz w:val="24"/>
            <w:szCs w:val="24"/>
          </w:rPr>
          <w:fldChar w:fldCharType="end"/>
        </w:r>
      </w:p>
    </w:sdtContent>
  </w:sdt>
  <w:p w:rsidR="00861645" w:rsidRDefault="00861645">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645" w:rsidRDefault="00861645">
      <w:r>
        <w:separator/>
      </w:r>
    </w:p>
  </w:footnote>
  <w:footnote w:type="continuationSeparator" w:id="0">
    <w:p w:rsidR="00861645" w:rsidRDefault="00861645">
      <w:r>
        <w:continuationSeparator/>
      </w:r>
    </w:p>
  </w:footnote>
  <w:footnote w:id="1">
    <w:p w:rsidR="00861645" w:rsidRDefault="00861645" w:rsidP="00D16498">
      <w:pPr>
        <w:pStyle w:val="FootnoteText"/>
      </w:pPr>
      <w:r w:rsidRPr="004A3EBA">
        <w:rPr>
          <w:rStyle w:val="FootnoteReference"/>
          <w:sz w:val="18"/>
          <w:szCs w:val="18"/>
        </w:rPr>
        <w:footnoteRef/>
      </w:r>
      <w:r w:rsidRPr="004A3EBA">
        <w:rPr>
          <w:sz w:val="18"/>
          <w:szCs w:val="18"/>
        </w:rPr>
        <w:t xml:space="preserve"> Participating law enforcement agency members of the AFP include the Asset Forfeiture Management Staff, Justice Management Division (AFMS)</w:t>
      </w:r>
      <w:r w:rsidRPr="004A3EBA">
        <w:rPr>
          <w:b/>
          <w:sz w:val="18"/>
          <w:szCs w:val="18"/>
        </w:rPr>
        <w:t>,</w:t>
      </w:r>
      <w:r w:rsidRPr="004A3EBA">
        <w:rPr>
          <w:sz w:val="18"/>
          <w:szCs w:val="18"/>
        </w:rPr>
        <w:t xml:space="preserve"> Asset Forfeiture and Money Laundering Section, Criminal Division (AFMLS), </w:t>
      </w:r>
      <w:r w:rsidRPr="004A3EBA">
        <w:rPr>
          <w:color w:val="000000"/>
          <w:sz w:val="18"/>
          <w:szCs w:val="18"/>
        </w:rPr>
        <w:t xml:space="preserve">Bureau of Alcohol Tobacco Firearms &amp; Explosives (ATF), Drug Enforcement Administration (DEA), Federal Bureau of Investigation (FBI), Organized Crime Drug Enforcement Task Forces (OCDETF), US Marshals Service (USMS), INTERPOL Washington (USNCB), </w:t>
      </w:r>
      <w:r w:rsidRPr="004A3EBA">
        <w:rPr>
          <w:sz w:val="18"/>
          <w:szCs w:val="18"/>
        </w:rPr>
        <w:t>Executive Office for United States Attorneys (EOUSA),</w:t>
      </w:r>
      <w:r w:rsidRPr="004A3EBA">
        <w:rPr>
          <w:color w:val="000000"/>
          <w:sz w:val="18"/>
          <w:szCs w:val="18"/>
        </w:rPr>
        <w:t xml:space="preserve"> Defense Criminal Investigative Service (DCIS), State Department Bureau of Diplomatic Security (BDS), Food and Drug Administration Office of Criminal Investigations (FDA OCI), US Postal Inspection Service (USPIS), and US Department of Agriculture Office of Inspector General (USDA OIG).</w:t>
      </w:r>
      <w:r w:rsidRPr="002E48D2">
        <w:t xml:space="preserve"> </w:t>
      </w:r>
    </w:p>
  </w:footnote>
  <w:footnote w:id="2">
    <w:p w:rsidR="00565CB6" w:rsidRDefault="00565CB6" w:rsidP="00565CB6">
      <w:pPr>
        <w:pStyle w:val="FootnoteText"/>
      </w:pPr>
      <w:r>
        <w:rPr>
          <w:rStyle w:val="FootnoteReference"/>
        </w:rPr>
        <w:footnoteRef/>
      </w:r>
      <w:r>
        <w:t xml:space="preserve"> See 28 U.S.C.524(c)(8)(D)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45" w:rsidRDefault="00861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45" w:rsidRDefault="008616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45" w:rsidRDefault="00861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92401A"/>
    <w:multiLevelType w:val="hybridMultilevel"/>
    <w:tmpl w:val="362E0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1C605C"/>
    <w:multiLevelType w:val="hybridMultilevel"/>
    <w:tmpl w:val="DAA0A3DE"/>
    <w:lvl w:ilvl="0" w:tplc="0409000F">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7B43CB1"/>
    <w:multiLevelType w:val="hybridMultilevel"/>
    <w:tmpl w:val="900CAF5E"/>
    <w:lvl w:ilvl="0" w:tplc="CE6244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51E30"/>
    <w:multiLevelType w:val="hybridMultilevel"/>
    <w:tmpl w:val="2D2A20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17F36800"/>
    <w:multiLevelType w:val="hybridMultilevel"/>
    <w:tmpl w:val="A13635C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075CE9"/>
    <w:multiLevelType w:val="multilevel"/>
    <w:tmpl w:val="1F928826"/>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
    <w:nsid w:val="1A0D29A8"/>
    <w:multiLevelType w:val="multilevel"/>
    <w:tmpl w:val="DAA0A3DE"/>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675A31"/>
    <w:multiLevelType w:val="hybridMultilevel"/>
    <w:tmpl w:val="0504E13E"/>
    <w:lvl w:ilvl="0" w:tplc="08B46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517533"/>
    <w:multiLevelType w:val="hybridMultilevel"/>
    <w:tmpl w:val="F4C00E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FD565CE"/>
    <w:multiLevelType w:val="hybridMultilevel"/>
    <w:tmpl w:val="6B540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A00EAB"/>
    <w:multiLevelType w:val="hybridMultilevel"/>
    <w:tmpl w:val="B0960C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6D5999"/>
    <w:multiLevelType w:val="hybridMultilevel"/>
    <w:tmpl w:val="F1FAB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B5E6266"/>
    <w:multiLevelType w:val="hybridMultilevel"/>
    <w:tmpl w:val="88860BFE"/>
    <w:lvl w:ilvl="0" w:tplc="08B46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7511BC"/>
    <w:multiLevelType w:val="hybridMultilevel"/>
    <w:tmpl w:val="39A01F0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nsid w:val="70E00375"/>
    <w:multiLevelType w:val="hybridMultilevel"/>
    <w:tmpl w:val="86A4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480497"/>
    <w:multiLevelType w:val="hybridMultilevel"/>
    <w:tmpl w:val="63D08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F840E0"/>
    <w:multiLevelType w:val="hybridMultilevel"/>
    <w:tmpl w:val="18A86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663FAD"/>
    <w:multiLevelType w:val="hybridMultilevel"/>
    <w:tmpl w:val="16CE60E2"/>
    <w:lvl w:ilvl="0" w:tplc="74C643E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0"/>
  </w:num>
  <w:num w:numId="3">
    <w:abstractNumId w:val="13"/>
  </w:num>
  <w:num w:numId="4">
    <w:abstractNumId w:val="1"/>
  </w:num>
  <w:num w:numId="5">
    <w:abstractNumId w:val="29"/>
  </w:num>
  <w:num w:numId="6">
    <w:abstractNumId w:val="7"/>
  </w:num>
  <w:num w:numId="7">
    <w:abstractNumId w:val="32"/>
  </w:num>
  <w:num w:numId="8">
    <w:abstractNumId w:val="21"/>
  </w:num>
  <w:num w:numId="9">
    <w:abstractNumId w:val="16"/>
  </w:num>
  <w:num w:numId="10">
    <w:abstractNumId w:val="12"/>
  </w:num>
  <w:num w:numId="11">
    <w:abstractNumId w:val="24"/>
  </w:num>
  <w:num w:numId="12">
    <w:abstractNumId w:val="18"/>
  </w:num>
  <w:num w:numId="13">
    <w:abstractNumId w:val="2"/>
  </w:num>
  <w:num w:numId="14">
    <w:abstractNumId w:val="15"/>
  </w:num>
  <w:num w:numId="15">
    <w:abstractNumId w:val="0"/>
  </w:num>
  <w:num w:numId="16">
    <w:abstractNumId w:val="17"/>
  </w:num>
  <w:num w:numId="17">
    <w:abstractNumId w:val="11"/>
  </w:num>
  <w:num w:numId="18">
    <w:abstractNumId w:val="3"/>
  </w:num>
  <w:num w:numId="19">
    <w:abstractNumId w:val="19"/>
  </w:num>
  <w:num w:numId="20">
    <w:abstractNumId w:val="8"/>
  </w:num>
  <w:num w:numId="21">
    <w:abstractNumId w:val="20"/>
  </w:num>
  <w:num w:numId="22">
    <w:abstractNumId w:val="22"/>
  </w:num>
  <w:num w:numId="23">
    <w:abstractNumId w:val="4"/>
  </w:num>
  <w:num w:numId="24">
    <w:abstractNumId w:val="6"/>
  </w:num>
  <w:num w:numId="25">
    <w:abstractNumId w:val="9"/>
  </w:num>
  <w:num w:numId="26">
    <w:abstractNumId w:val="30"/>
  </w:num>
  <w:num w:numId="27">
    <w:abstractNumId w:val="23"/>
  </w:num>
  <w:num w:numId="28">
    <w:abstractNumId w:val="31"/>
  </w:num>
  <w:num w:numId="29">
    <w:abstractNumId w:val="14"/>
  </w:num>
  <w:num w:numId="30">
    <w:abstractNumId w:val="28"/>
  </w:num>
  <w:num w:numId="31">
    <w:abstractNumId w:val="27"/>
  </w:num>
  <w:num w:numId="32">
    <w:abstractNumId w:val="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7B"/>
    <w:rsid w:val="00001859"/>
    <w:rsid w:val="000049F8"/>
    <w:rsid w:val="00011D7E"/>
    <w:rsid w:val="00013B82"/>
    <w:rsid w:val="000146CC"/>
    <w:rsid w:val="00015F5F"/>
    <w:rsid w:val="00016E2F"/>
    <w:rsid w:val="00021505"/>
    <w:rsid w:val="00021788"/>
    <w:rsid w:val="00023728"/>
    <w:rsid w:val="000339AC"/>
    <w:rsid w:val="00034954"/>
    <w:rsid w:val="00044C68"/>
    <w:rsid w:val="00044F4B"/>
    <w:rsid w:val="00051241"/>
    <w:rsid w:val="00053160"/>
    <w:rsid w:val="00054E33"/>
    <w:rsid w:val="000565F3"/>
    <w:rsid w:val="00056F09"/>
    <w:rsid w:val="00063C96"/>
    <w:rsid w:val="0007008A"/>
    <w:rsid w:val="00070C04"/>
    <w:rsid w:val="0007449E"/>
    <w:rsid w:val="00077478"/>
    <w:rsid w:val="000872E8"/>
    <w:rsid w:val="0008773A"/>
    <w:rsid w:val="0009029C"/>
    <w:rsid w:val="00091B8F"/>
    <w:rsid w:val="00093D61"/>
    <w:rsid w:val="000A3E86"/>
    <w:rsid w:val="000A4FC5"/>
    <w:rsid w:val="000B0C3A"/>
    <w:rsid w:val="000B4C2D"/>
    <w:rsid w:val="000B6DA7"/>
    <w:rsid w:val="000B7991"/>
    <w:rsid w:val="000C2817"/>
    <w:rsid w:val="000C40C2"/>
    <w:rsid w:val="000C77AB"/>
    <w:rsid w:val="000C7F20"/>
    <w:rsid w:val="000D2DD1"/>
    <w:rsid w:val="000D517B"/>
    <w:rsid w:val="000D6B52"/>
    <w:rsid w:val="000E4A57"/>
    <w:rsid w:val="000F05B9"/>
    <w:rsid w:val="000F09B2"/>
    <w:rsid w:val="000F3F48"/>
    <w:rsid w:val="000F46D4"/>
    <w:rsid w:val="00100C12"/>
    <w:rsid w:val="00102A0F"/>
    <w:rsid w:val="001055E5"/>
    <w:rsid w:val="00107531"/>
    <w:rsid w:val="001101CE"/>
    <w:rsid w:val="00110FA6"/>
    <w:rsid w:val="001266BD"/>
    <w:rsid w:val="00126F55"/>
    <w:rsid w:val="001312ED"/>
    <w:rsid w:val="00131E9B"/>
    <w:rsid w:val="001348DC"/>
    <w:rsid w:val="00137C6A"/>
    <w:rsid w:val="0014244B"/>
    <w:rsid w:val="00150263"/>
    <w:rsid w:val="0015193C"/>
    <w:rsid w:val="001526DA"/>
    <w:rsid w:val="0015440D"/>
    <w:rsid w:val="00160379"/>
    <w:rsid w:val="00163AD7"/>
    <w:rsid w:val="001718F1"/>
    <w:rsid w:val="001812DB"/>
    <w:rsid w:val="00191748"/>
    <w:rsid w:val="00192996"/>
    <w:rsid w:val="00193188"/>
    <w:rsid w:val="001A4764"/>
    <w:rsid w:val="001A53B1"/>
    <w:rsid w:val="001B164A"/>
    <w:rsid w:val="001B2A05"/>
    <w:rsid w:val="001B5DB4"/>
    <w:rsid w:val="001C2252"/>
    <w:rsid w:val="001C7C94"/>
    <w:rsid w:val="001D0FCF"/>
    <w:rsid w:val="001E732F"/>
    <w:rsid w:val="001E78CF"/>
    <w:rsid w:val="001F2F0C"/>
    <w:rsid w:val="001F3CB5"/>
    <w:rsid w:val="00201C88"/>
    <w:rsid w:val="00206102"/>
    <w:rsid w:val="00207B56"/>
    <w:rsid w:val="00210851"/>
    <w:rsid w:val="00210C3F"/>
    <w:rsid w:val="00210CE1"/>
    <w:rsid w:val="00211754"/>
    <w:rsid w:val="00212292"/>
    <w:rsid w:val="00213A55"/>
    <w:rsid w:val="0022135F"/>
    <w:rsid w:val="00222AA8"/>
    <w:rsid w:val="00223A0F"/>
    <w:rsid w:val="00223A84"/>
    <w:rsid w:val="00224A36"/>
    <w:rsid w:val="00226734"/>
    <w:rsid w:val="00231391"/>
    <w:rsid w:val="00231BEC"/>
    <w:rsid w:val="002355BF"/>
    <w:rsid w:val="002621A1"/>
    <w:rsid w:val="00263721"/>
    <w:rsid w:val="00264599"/>
    <w:rsid w:val="0026629F"/>
    <w:rsid w:val="00273F14"/>
    <w:rsid w:val="00275491"/>
    <w:rsid w:val="0028162D"/>
    <w:rsid w:val="00281FBC"/>
    <w:rsid w:val="00282487"/>
    <w:rsid w:val="00282951"/>
    <w:rsid w:val="0028329D"/>
    <w:rsid w:val="002862AC"/>
    <w:rsid w:val="002868F0"/>
    <w:rsid w:val="00286AB4"/>
    <w:rsid w:val="00292BD4"/>
    <w:rsid w:val="002A0B15"/>
    <w:rsid w:val="002A1E57"/>
    <w:rsid w:val="002A21D4"/>
    <w:rsid w:val="002A33D5"/>
    <w:rsid w:val="002A5D13"/>
    <w:rsid w:val="002A7B02"/>
    <w:rsid w:val="002A7F36"/>
    <w:rsid w:val="002B0648"/>
    <w:rsid w:val="002B4426"/>
    <w:rsid w:val="002B6EF8"/>
    <w:rsid w:val="002C3661"/>
    <w:rsid w:val="002C719D"/>
    <w:rsid w:val="002D1DAE"/>
    <w:rsid w:val="002E0440"/>
    <w:rsid w:val="002E37BF"/>
    <w:rsid w:val="002E48D2"/>
    <w:rsid w:val="002E55CC"/>
    <w:rsid w:val="002E6006"/>
    <w:rsid w:val="002E712F"/>
    <w:rsid w:val="002E7CDE"/>
    <w:rsid w:val="002F2857"/>
    <w:rsid w:val="002F6B43"/>
    <w:rsid w:val="002F6D16"/>
    <w:rsid w:val="0030129B"/>
    <w:rsid w:val="00302DDE"/>
    <w:rsid w:val="00305761"/>
    <w:rsid w:val="00317730"/>
    <w:rsid w:val="00323381"/>
    <w:rsid w:val="00324849"/>
    <w:rsid w:val="00326AC8"/>
    <w:rsid w:val="00327595"/>
    <w:rsid w:val="0033094F"/>
    <w:rsid w:val="00333CC9"/>
    <w:rsid w:val="00334271"/>
    <w:rsid w:val="0033480F"/>
    <w:rsid w:val="003359B7"/>
    <w:rsid w:val="00336679"/>
    <w:rsid w:val="00344214"/>
    <w:rsid w:val="0035212E"/>
    <w:rsid w:val="0035401D"/>
    <w:rsid w:val="00355726"/>
    <w:rsid w:val="00362437"/>
    <w:rsid w:val="00363201"/>
    <w:rsid w:val="003648AB"/>
    <w:rsid w:val="00377551"/>
    <w:rsid w:val="00381552"/>
    <w:rsid w:val="003905E5"/>
    <w:rsid w:val="00390CEC"/>
    <w:rsid w:val="00396366"/>
    <w:rsid w:val="00396EBE"/>
    <w:rsid w:val="003A67AF"/>
    <w:rsid w:val="003B0CB9"/>
    <w:rsid w:val="003B53FC"/>
    <w:rsid w:val="003B7C3E"/>
    <w:rsid w:val="003B7ED5"/>
    <w:rsid w:val="003C2842"/>
    <w:rsid w:val="003C2B26"/>
    <w:rsid w:val="003C7B01"/>
    <w:rsid w:val="003C7B6C"/>
    <w:rsid w:val="003C7BA5"/>
    <w:rsid w:val="003D02E4"/>
    <w:rsid w:val="003D0E7B"/>
    <w:rsid w:val="003D0FEA"/>
    <w:rsid w:val="003D44AE"/>
    <w:rsid w:val="003E08AD"/>
    <w:rsid w:val="003E0BD5"/>
    <w:rsid w:val="003E0DB9"/>
    <w:rsid w:val="003E0E22"/>
    <w:rsid w:val="003E10C5"/>
    <w:rsid w:val="003E1F3A"/>
    <w:rsid w:val="003E2638"/>
    <w:rsid w:val="003E2E46"/>
    <w:rsid w:val="003E315D"/>
    <w:rsid w:val="003E3F5C"/>
    <w:rsid w:val="003E615F"/>
    <w:rsid w:val="003E6E52"/>
    <w:rsid w:val="003F0CC2"/>
    <w:rsid w:val="003F2040"/>
    <w:rsid w:val="003F346F"/>
    <w:rsid w:val="003F40A7"/>
    <w:rsid w:val="00407116"/>
    <w:rsid w:val="0041131B"/>
    <w:rsid w:val="00412FAD"/>
    <w:rsid w:val="00413D62"/>
    <w:rsid w:val="00415D41"/>
    <w:rsid w:val="00431ECB"/>
    <w:rsid w:val="00433644"/>
    <w:rsid w:val="00433BB2"/>
    <w:rsid w:val="00435CF7"/>
    <w:rsid w:val="00437CE0"/>
    <w:rsid w:val="004420AF"/>
    <w:rsid w:val="00446A90"/>
    <w:rsid w:val="00453225"/>
    <w:rsid w:val="004548A1"/>
    <w:rsid w:val="0045537A"/>
    <w:rsid w:val="004557CF"/>
    <w:rsid w:val="00457FD6"/>
    <w:rsid w:val="00465B43"/>
    <w:rsid w:val="0046669E"/>
    <w:rsid w:val="0046775A"/>
    <w:rsid w:val="0048075E"/>
    <w:rsid w:val="004862EA"/>
    <w:rsid w:val="00490F7F"/>
    <w:rsid w:val="00493966"/>
    <w:rsid w:val="0049647F"/>
    <w:rsid w:val="004A27DC"/>
    <w:rsid w:val="004A3EBA"/>
    <w:rsid w:val="004B0CC0"/>
    <w:rsid w:val="004C2575"/>
    <w:rsid w:val="004C2FBB"/>
    <w:rsid w:val="004D0F03"/>
    <w:rsid w:val="004E1822"/>
    <w:rsid w:val="004E4E39"/>
    <w:rsid w:val="004F00AB"/>
    <w:rsid w:val="004F263A"/>
    <w:rsid w:val="004F5E78"/>
    <w:rsid w:val="004F7D52"/>
    <w:rsid w:val="005016F4"/>
    <w:rsid w:val="00503E35"/>
    <w:rsid w:val="00510454"/>
    <w:rsid w:val="005122B7"/>
    <w:rsid w:val="0051355E"/>
    <w:rsid w:val="00513F3A"/>
    <w:rsid w:val="005141CB"/>
    <w:rsid w:val="0051508F"/>
    <w:rsid w:val="00520F21"/>
    <w:rsid w:val="00524628"/>
    <w:rsid w:val="00525A10"/>
    <w:rsid w:val="005323D6"/>
    <w:rsid w:val="005330D1"/>
    <w:rsid w:val="00536E70"/>
    <w:rsid w:val="00543A99"/>
    <w:rsid w:val="005450A5"/>
    <w:rsid w:val="005542FB"/>
    <w:rsid w:val="00560C52"/>
    <w:rsid w:val="00563265"/>
    <w:rsid w:val="00563EAA"/>
    <w:rsid w:val="005640B2"/>
    <w:rsid w:val="00565B02"/>
    <w:rsid w:val="00565CB6"/>
    <w:rsid w:val="00567EA1"/>
    <w:rsid w:val="00572077"/>
    <w:rsid w:val="00572DED"/>
    <w:rsid w:val="005730E5"/>
    <w:rsid w:val="00573823"/>
    <w:rsid w:val="00574941"/>
    <w:rsid w:val="005761FB"/>
    <w:rsid w:val="00576A44"/>
    <w:rsid w:val="00577B60"/>
    <w:rsid w:val="005802CA"/>
    <w:rsid w:val="00580CDB"/>
    <w:rsid w:val="00584C3E"/>
    <w:rsid w:val="005850D2"/>
    <w:rsid w:val="005853AE"/>
    <w:rsid w:val="0058545D"/>
    <w:rsid w:val="005867F3"/>
    <w:rsid w:val="005962E7"/>
    <w:rsid w:val="005A4876"/>
    <w:rsid w:val="005B21C3"/>
    <w:rsid w:val="005B22C3"/>
    <w:rsid w:val="005B4D90"/>
    <w:rsid w:val="005C2A56"/>
    <w:rsid w:val="005C6A32"/>
    <w:rsid w:val="005D12C4"/>
    <w:rsid w:val="005D14B4"/>
    <w:rsid w:val="005D27AA"/>
    <w:rsid w:val="005E6CF4"/>
    <w:rsid w:val="005F37CD"/>
    <w:rsid w:val="005F517E"/>
    <w:rsid w:val="005F797B"/>
    <w:rsid w:val="00601A72"/>
    <w:rsid w:val="00611447"/>
    <w:rsid w:val="0061174C"/>
    <w:rsid w:val="00612B52"/>
    <w:rsid w:val="00613CF4"/>
    <w:rsid w:val="006142B1"/>
    <w:rsid w:val="00632B0F"/>
    <w:rsid w:val="006366E2"/>
    <w:rsid w:val="0064615F"/>
    <w:rsid w:val="0065322C"/>
    <w:rsid w:val="006613F1"/>
    <w:rsid w:val="00662F0D"/>
    <w:rsid w:val="00670138"/>
    <w:rsid w:val="00670357"/>
    <w:rsid w:val="00670EFF"/>
    <w:rsid w:val="006742AF"/>
    <w:rsid w:val="00674B56"/>
    <w:rsid w:val="006751EA"/>
    <w:rsid w:val="00685226"/>
    <w:rsid w:val="00693AF8"/>
    <w:rsid w:val="00693F48"/>
    <w:rsid w:val="006964C6"/>
    <w:rsid w:val="006971BA"/>
    <w:rsid w:val="006A30E2"/>
    <w:rsid w:val="006B3FDA"/>
    <w:rsid w:val="006C1CE0"/>
    <w:rsid w:val="006C33DC"/>
    <w:rsid w:val="006C3A69"/>
    <w:rsid w:val="006C4238"/>
    <w:rsid w:val="006D25FC"/>
    <w:rsid w:val="006D3C74"/>
    <w:rsid w:val="006E00F4"/>
    <w:rsid w:val="006E2E9A"/>
    <w:rsid w:val="006E3834"/>
    <w:rsid w:val="006E668F"/>
    <w:rsid w:val="006E6DEB"/>
    <w:rsid w:val="006E7E4A"/>
    <w:rsid w:val="006F25AD"/>
    <w:rsid w:val="006F26D9"/>
    <w:rsid w:val="007000ED"/>
    <w:rsid w:val="007022AE"/>
    <w:rsid w:val="0070302E"/>
    <w:rsid w:val="00704A0F"/>
    <w:rsid w:val="00707E9C"/>
    <w:rsid w:val="00711C02"/>
    <w:rsid w:val="00713973"/>
    <w:rsid w:val="007139B4"/>
    <w:rsid w:val="00716078"/>
    <w:rsid w:val="00723EAA"/>
    <w:rsid w:val="00724071"/>
    <w:rsid w:val="00732B0D"/>
    <w:rsid w:val="00733266"/>
    <w:rsid w:val="00733EF3"/>
    <w:rsid w:val="00736FFF"/>
    <w:rsid w:val="007449C5"/>
    <w:rsid w:val="007458C0"/>
    <w:rsid w:val="0074653F"/>
    <w:rsid w:val="007512EE"/>
    <w:rsid w:val="0076288B"/>
    <w:rsid w:val="0076666E"/>
    <w:rsid w:val="007723DF"/>
    <w:rsid w:val="00776054"/>
    <w:rsid w:val="00781832"/>
    <w:rsid w:val="00781C0F"/>
    <w:rsid w:val="00784228"/>
    <w:rsid w:val="007847E3"/>
    <w:rsid w:val="00786F7D"/>
    <w:rsid w:val="00787F20"/>
    <w:rsid w:val="00790F0E"/>
    <w:rsid w:val="007914FE"/>
    <w:rsid w:val="00792421"/>
    <w:rsid w:val="007A1F64"/>
    <w:rsid w:val="007A54DF"/>
    <w:rsid w:val="007A688C"/>
    <w:rsid w:val="007A6E0F"/>
    <w:rsid w:val="007B233B"/>
    <w:rsid w:val="007B406F"/>
    <w:rsid w:val="007B4623"/>
    <w:rsid w:val="007B6265"/>
    <w:rsid w:val="007C00C0"/>
    <w:rsid w:val="007C4781"/>
    <w:rsid w:val="007C47E1"/>
    <w:rsid w:val="007D1551"/>
    <w:rsid w:val="007D2EEF"/>
    <w:rsid w:val="007D4A35"/>
    <w:rsid w:val="007D50E2"/>
    <w:rsid w:val="007D5E6A"/>
    <w:rsid w:val="007E0FD6"/>
    <w:rsid w:val="007E613C"/>
    <w:rsid w:val="007E666A"/>
    <w:rsid w:val="007F6312"/>
    <w:rsid w:val="008021AD"/>
    <w:rsid w:val="00806939"/>
    <w:rsid w:val="00811CAB"/>
    <w:rsid w:val="00815FB1"/>
    <w:rsid w:val="00834272"/>
    <w:rsid w:val="00834B31"/>
    <w:rsid w:val="00837EA7"/>
    <w:rsid w:val="00851F1E"/>
    <w:rsid w:val="008544DB"/>
    <w:rsid w:val="00861645"/>
    <w:rsid w:val="008627D8"/>
    <w:rsid w:val="00866951"/>
    <w:rsid w:val="00867731"/>
    <w:rsid w:val="0087091B"/>
    <w:rsid w:val="00874A7F"/>
    <w:rsid w:val="0087565C"/>
    <w:rsid w:val="00876253"/>
    <w:rsid w:val="00880828"/>
    <w:rsid w:val="00881923"/>
    <w:rsid w:val="00884F4A"/>
    <w:rsid w:val="00885E9D"/>
    <w:rsid w:val="008879DB"/>
    <w:rsid w:val="0089101D"/>
    <w:rsid w:val="00891FFD"/>
    <w:rsid w:val="008921AE"/>
    <w:rsid w:val="00893B64"/>
    <w:rsid w:val="00895919"/>
    <w:rsid w:val="0089771B"/>
    <w:rsid w:val="008A31BF"/>
    <w:rsid w:val="008A3E2D"/>
    <w:rsid w:val="008B21E3"/>
    <w:rsid w:val="008B256E"/>
    <w:rsid w:val="008B672C"/>
    <w:rsid w:val="008C043E"/>
    <w:rsid w:val="008C11E9"/>
    <w:rsid w:val="008C2228"/>
    <w:rsid w:val="008C3B2B"/>
    <w:rsid w:val="008C4551"/>
    <w:rsid w:val="008C4939"/>
    <w:rsid w:val="008C54D3"/>
    <w:rsid w:val="008D413E"/>
    <w:rsid w:val="008D6134"/>
    <w:rsid w:val="008E05B6"/>
    <w:rsid w:val="008E2B1C"/>
    <w:rsid w:val="008E37C0"/>
    <w:rsid w:val="008E3852"/>
    <w:rsid w:val="008E47A5"/>
    <w:rsid w:val="008E5282"/>
    <w:rsid w:val="008E7D00"/>
    <w:rsid w:val="008F173E"/>
    <w:rsid w:val="008F5966"/>
    <w:rsid w:val="008F7271"/>
    <w:rsid w:val="008F7762"/>
    <w:rsid w:val="00900A27"/>
    <w:rsid w:val="0091087D"/>
    <w:rsid w:val="00913A17"/>
    <w:rsid w:val="009147A6"/>
    <w:rsid w:val="0091662A"/>
    <w:rsid w:val="00922598"/>
    <w:rsid w:val="0093076A"/>
    <w:rsid w:val="00930DD2"/>
    <w:rsid w:val="00933670"/>
    <w:rsid w:val="009352BE"/>
    <w:rsid w:val="00936654"/>
    <w:rsid w:val="0094099F"/>
    <w:rsid w:val="00942CA4"/>
    <w:rsid w:val="009439E7"/>
    <w:rsid w:val="0094782F"/>
    <w:rsid w:val="0095733D"/>
    <w:rsid w:val="009642D9"/>
    <w:rsid w:val="00966C61"/>
    <w:rsid w:val="009674EF"/>
    <w:rsid w:val="0097259E"/>
    <w:rsid w:val="0097485A"/>
    <w:rsid w:val="009760CE"/>
    <w:rsid w:val="0097616C"/>
    <w:rsid w:val="00980EFC"/>
    <w:rsid w:val="0098208E"/>
    <w:rsid w:val="00982480"/>
    <w:rsid w:val="009842DA"/>
    <w:rsid w:val="00993556"/>
    <w:rsid w:val="009A0DB8"/>
    <w:rsid w:val="009A1490"/>
    <w:rsid w:val="009A153D"/>
    <w:rsid w:val="009A2B32"/>
    <w:rsid w:val="009B744E"/>
    <w:rsid w:val="009C33E1"/>
    <w:rsid w:val="009C6CE3"/>
    <w:rsid w:val="009C6EF7"/>
    <w:rsid w:val="009D11AE"/>
    <w:rsid w:val="009D3474"/>
    <w:rsid w:val="009F6CF7"/>
    <w:rsid w:val="009F7D7E"/>
    <w:rsid w:val="00A04BCB"/>
    <w:rsid w:val="00A0692E"/>
    <w:rsid w:val="00A133DB"/>
    <w:rsid w:val="00A17459"/>
    <w:rsid w:val="00A25111"/>
    <w:rsid w:val="00A261F1"/>
    <w:rsid w:val="00A27566"/>
    <w:rsid w:val="00A51E3A"/>
    <w:rsid w:val="00A577C0"/>
    <w:rsid w:val="00A60170"/>
    <w:rsid w:val="00A623C9"/>
    <w:rsid w:val="00A65A1F"/>
    <w:rsid w:val="00A66762"/>
    <w:rsid w:val="00A70C33"/>
    <w:rsid w:val="00A733D6"/>
    <w:rsid w:val="00A75B3C"/>
    <w:rsid w:val="00A76221"/>
    <w:rsid w:val="00A80FBD"/>
    <w:rsid w:val="00A82047"/>
    <w:rsid w:val="00A82E09"/>
    <w:rsid w:val="00A8654B"/>
    <w:rsid w:val="00A91A23"/>
    <w:rsid w:val="00A91B23"/>
    <w:rsid w:val="00A9342E"/>
    <w:rsid w:val="00A972EB"/>
    <w:rsid w:val="00AA08BD"/>
    <w:rsid w:val="00AA19BE"/>
    <w:rsid w:val="00AA2AF1"/>
    <w:rsid w:val="00AA3546"/>
    <w:rsid w:val="00AB102F"/>
    <w:rsid w:val="00AB3492"/>
    <w:rsid w:val="00AB5E25"/>
    <w:rsid w:val="00AC2C96"/>
    <w:rsid w:val="00AD6301"/>
    <w:rsid w:val="00AE1C94"/>
    <w:rsid w:val="00AE56AB"/>
    <w:rsid w:val="00AE6304"/>
    <w:rsid w:val="00AE713A"/>
    <w:rsid w:val="00AF0219"/>
    <w:rsid w:val="00AF48C1"/>
    <w:rsid w:val="00B07B28"/>
    <w:rsid w:val="00B07B43"/>
    <w:rsid w:val="00B11A45"/>
    <w:rsid w:val="00B139E3"/>
    <w:rsid w:val="00B21D4F"/>
    <w:rsid w:val="00B220C4"/>
    <w:rsid w:val="00B237B2"/>
    <w:rsid w:val="00B24B0A"/>
    <w:rsid w:val="00B256F6"/>
    <w:rsid w:val="00B26E11"/>
    <w:rsid w:val="00B270AC"/>
    <w:rsid w:val="00B27868"/>
    <w:rsid w:val="00B27B29"/>
    <w:rsid w:val="00B3157E"/>
    <w:rsid w:val="00B329D4"/>
    <w:rsid w:val="00B354AF"/>
    <w:rsid w:val="00B41107"/>
    <w:rsid w:val="00B50CCC"/>
    <w:rsid w:val="00B53D4F"/>
    <w:rsid w:val="00B56A1C"/>
    <w:rsid w:val="00B56C32"/>
    <w:rsid w:val="00B65733"/>
    <w:rsid w:val="00B6683D"/>
    <w:rsid w:val="00B73108"/>
    <w:rsid w:val="00B736FF"/>
    <w:rsid w:val="00B73BCE"/>
    <w:rsid w:val="00B7717C"/>
    <w:rsid w:val="00B86D37"/>
    <w:rsid w:val="00B90AD3"/>
    <w:rsid w:val="00B94F03"/>
    <w:rsid w:val="00B96D2E"/>
    <w:rsid w:val="00B972C6"/>
    <w:rsid w:val="00BA04B9"/>
    <w:rsid w:val="00BA53FC"/>
    <w:rsid w:val="00BA6D87"/>
    <w:rsid w:val="00BB0595"/>
    <w:rsid w:val="00BB23D2"/>
    <w:rsid w:val="00BB36A6"/>
    <w:rsid w:val="00BB6291"/>
    <w:rsid w:val="00BC1304"/>
    <w:rsid w:val="00BD1201"/>
    <w:rsid w:val="00BD4814"/>
    <w:rsid w:val="00BD4E80"/>
    <w:rsid w:val="00BD7148"/>
    <w:rsid w:val="00BD7466"/>
    <w:rsid w:val="00BE21EA"/>
    <w:rsid w:val="00BE24F6"/>
    <w:rsid w:val="00BE3CA0"/>
    <w:rsid w:val="00BE48F9"/>
    <w:rsid w:val="00BF05CC"/>
    <w:rsid w:val="00BF154B"/>
    <w:rsid w:val="00BF15A3"/>
    <w:rsid w:val="00C039AC"/>
    <w:rsid w:val="00C049DA"/>
    <w:rsid w:val="00C076C5"/>
    <w:rsid w:val="00C07C22"/>
    <w:rsid w:val="00C11BE0"/>
    <w:rsid w:val="00C12120"/>
    <w:rsid w:val="00C164B2"/>
    <w:rsid w:val="00C30C7B"/>
    <w:rsid w:val="00C36D00"/>
    <w:rsid w:val="00C36DD2"/>
    <w:rsid w:val="00C42CE4"/>
    <w:rsid w:val="00C50AD3"/>
    <w:rsid w:val="00C50C90"/>
    <w:rsid w:val="00C552E4"/>
    <w:rsid w:val="00C562F6"/>
    <w:rsid w:val="00C5630F"/>
    <w:rsid w:val="00C61433"/>
    <w:rsid w:val="00C62824"/>
    <w:rsid w:val="00C66D59"/>
    <w:rsid w:val="00C71FD5"/>
    <w:rsid w:val="00C74952"/>
    <w:rsid w:val="00C75359"/>
    <w:rsid w:val="00C76815"/>
    <w:rsid w:val="00C8161E"/>
    <w:rsid w:val="00C82646"/>
    <w:rsid w:val="00C839D8"/>
    <w:rsid w:val="00C854C9"/>
    <w:rsid w:val="00C90515"/>
    <w:rsid w:val="00C921D9"/>
    <w:rsid w:val="00C93138"/>
    <w:rsid w:val="00C938DD"/>
    <w:rsid w:val="00C97E07"/>
    <w:rsid w:val="00CA09EF"/>
    <w:rsid w:val="00CA5D17"/>
    <w:rsid w:val="00CB1205"/>
    <w:rsid w:val="00CB3906"/>
    <w:rsid w:val="00CC0976"/>
    <w:rsid w:val="00CC0C4C"/>
    <w:rsid w:val="00CC3680"/>
    <w:rsid w:val="00CC4452"/>
    <w:rsid w:val="00CD01B7"/>
    <w:rsid w:val="00CD01B9"/>
    <w:rsid w:val="00CD0B74"/>
    <w:rsid w:val="00CD3BE0"/>
    <w:rsid w:val="00CE09FA"/>
    <w:rsid w:val="00CE0D16"/>
    <w:rsid w:val="00CE1D93"/>
    <w:rsid w:val="00CE27CB"/>
    <w:rsid w:val="00CE71EA"/>
    <w:rsid w:val="00CF1C59"/>
    <w:rsid w:val="00CF23AD"/>
    <w:rsid w:val="00CF4593"/>
    <w:rsid w:val="00D0644A"/>
    <w:rsid w:val="00D10E98"/>
    <w:rsid w:val="00D13EF4"/>
    <w:rsid w:val="00D1577C"/>
    <w:rsid w:val="00D15FDF"/>
    <w:rsid w:val="00D16498"/>
    <w:rsid w:val="00D167DD"/>
    <w:rsid w:val="00D203E4"/>
    <w:rsid w:val="00D21E9C"/>
    <w:rsid w:val="00D23185"/>
    <w:rsid w:val="00D23B7A"/>
    <w:rsid w:val="00D24D63"/>
    <w:rsid w:val="00D30437"/>
    <w:rsid w:val="00D32B22"/>
    <w:rsid w:val="00D33231"/>
    <w:rsid w:val="00D35C48"/>
    <w:rsid w:val="00D37C6F"/>
    <w:rsid w:val="00D41E9B"/>
    <w:rsid w:val="00D50335"/>
    <w:rsid w:val="00D50DB8"/>
    <w:rsid w:val="00D5163B"/>
    <w:rsid w:val="00D547E6"/>
    <w:rsid w:val="00D551E1"/>
    <w:rsid w:val="00D55C7D"/>
    <w:rsid w:val="00D57E0E"/>
    <w:rsid w:val="00D730E0"/>
    <w:rsid w:val="00D763AC"/>
    <w:rsid w:val="00D82CCD"/>
    <w:rsid w:val="00D84ADA"/>
    <w:rsid w:val="00D87265"/>
    <w:rsid w:val="00D94695"/>
    <w:rsid w:val="00D947E8"/>
    <w:rsid w:val="00D94B9D"/>
    <w:rsid w:val="00DA079C"/>
    <w:rsid w:val="00DA3C01"/>
    <w:rsid w:val="00DC3DC8"/>
    <w:rsid w:val="00DC49EF"/>
    <w:rsid w:val="00DC7EF2"/>
    <w:rsid w:val="00DD48AB"/>
    <w:rsid w:val="00DD7BD3"/>
    <w:rsid w:val="00DF07C7"/>
    <w:rsid w:val="00DF60FE"/>
    <w:rsid w:val="00DF77F1"/>
    <w:rsid w:val="00E0065D"/>
    <w:rsid w:val="00E03F90"/>
    <w:rsid w:val="00E04225"/>
    <w:rsid w:val="00E04D74"/>
    <w:rsid w:val="00E05D6B"/>
    <w:rsid w:val="00E0615B"/>
    <w:rsid w:val="00E07811"/>
    <w:rsid w:val="00E2470A"/>
    <w:rsid w:val="00E2551D"/>
    <w:rsid w:val="00E26ED1"/>
    <w:rsid w:val="00E2771C"/>
    <w:rsid w:val="00E278D4"/>
    <w:rsid w:val="00E30F25"/>
    <w:rsid w:val="00E3165F"/>
    <w:rsid w:val="00E32A7C"/>
    <w:rsid w:val="00E356AD"/>
    <w:rsid w:val="00E450F9"/>
    <w:rsid w:val="00E4629C"/>
    <w:rsid w:val="00E628EC"/>
    <w:rsid w:val="00E64780"/>
    <w:rsid w:val="00E671ED"/>
    <w:rsid w:val="00E701F9"/>
    <w:rsid w:val="00E70939"/>
    <w:rsid w:val="00E71DB8"/>
    <w:rsid w:val="00E73E79"/>
    <w:rsid w:val="00E84EE4"/>
    <w:rsid w:val="00E858AD"/>
    <w:rsid w:val="00E90F31"/>
    <w:rsid w:val="00E92191"/>
    <w:rsid w:val="00E935D4"/>
    <w:rsid w:val="00EA2016"/>
    <w:rsid w:val="00EA4F7C"/>
    <w:rsid w:val="00EA66CB"/>
    <w:rsid w:val="00EB0CF3"/>
    <w:rsid w:val="00EB26E4"/>
    <w:rsid w:val="00EB3534"/>
    <w:rsid w:val="00EB371C"/>
    <w:rsid w:val="00EB3D9E"/>
    <w:rsid w:val="00EB515F"/>
    <w:rsid w:val="00EB5F9A"/>
    <w:rsid w:val="00EC1523"/>
    <w:rsid w:val="00ED0B5E"/>
    <w:rsid w:val="00ED0BF2"/>
    <w:rsid w:val="00ED1A61"/>
    <w:rsid w:val="00ED2C1F"/>
    <w:rsid w:val="00ED5233"/>
    <w:rsid w:val="00EE16F7"/>
    <w:rsid w:val="00EE2294"/>
    <w:rsid w:val="00EE42FC"/>
    <w:rsid w:val="00EE4588"/>
    <w:rsid w:val="00EE5444"/>
    <w:rsid w:val="00EE74CF"/>
    <w:rsid w:val="00EE7701"/>
    <w:rsid w:val="00EF218E"/>
    <w:rsid w:val="00F11838"/>
    <w:rsid w:val="00F13397"/>
    <w:rsid w:val="00F159F9"/>
    <w:rsid w:val="00F1666C"/>
    <w:rsid w:val="00F30B95"/>
    <w:rsid w:val="00F34626"/>
    <w:rsid w:val="00F35075"/>
    <w:rsid w:val="00F36620"/>
    <w:rsid w:val="00F40C90"/>
    <w:rsid w:val="00F43BAD"/>
    <w:rsid w:val="00F44F3F"/>
    <w:rsid w:val="00F51864"/>
    <w:rsid w:val="00F533C4"/>
    <w:rsid w:val="00F56CA6"/>
    <w:rsid w:val="00F6072F"/>
    <w:rsid w:val="00F62E09"/>
    <w:rsid w:val="00F63BED"/>
    <w:rsid w:val="00F852F6"/>
    <w:rsid w:val="00F87281"/>
    <w:rsid w:val="00F87AC2"/>
    <w:rsid w:val="00F900C2"/>
    <w:rsid w:val="00F9719E"/>
    <w:rsid w:val="00FA5C8D"/>
    <w:rsid w:val="00FB2EF6"/>
    <w:rsid w:val="00FB3DB9"/>
    <w:rsid w:val="00FC00DD"/>
    <w:rsid w:val="00FC2E03"/>
    <w:rsid w:val="00FC41DD"/>
    <w:rsid w:val="00FC573F"/>
    <w:rsid w:val="00FC6F30"/>
    <w:rsid w:val="00FC7E5F"/>
    <w:rsid w:val="00FD1C96"/>
    <w:rsid w:val="00FD25E4"/>
    <w:rsid w:val="00FD3A36"/>
    <w:rsid w:val="00FE0A41"/>
    <w:rsid w:val="00FE1929"/>
    <w:rsid w:val="00FF5AD6"/>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pPr>
      <w:keepNext/>
      <w:jc w:val="center"/>
      <w:outlineLvl w:val="0"/>
    </w:pPr>
    <w:rPr>
      <w:rFonts w:ascii="Courier" w:hAnsi="Courier"/>
      <w:b/>
      <w:szCs w:val="20"/>
    </w:rPr>
  </w:style>
  <w:style w:type="paragraph" w:styleId="Heading2">
    <w:name w:val="heading 2"/>
    <w:basedOn w:val="Normal"/>
    <w:next w:val="Normal"/>
    <w:qFormat/>
    <w:pPr>
      <w:keepNext/>
      <w:jc w:val="right"/>
      <w:outlineLvl w:val="1"/>
    </w:pPr>
    <w:rPr>
      <w:rFonts w:ascii="Arial" w:hAnsi="Arial"/>
      <w:b/>
      <w:sz w:val="20"/>
      <w:szCs w:val="20"/>
      <w:u w:val="single"/>
    </w:rPr>
  </w:style>
  <w:style w:type="paragraph" w:styleId="Heading3">
    <w:name w:val="heading 3"/>
    <w:basedOn w:val="Normal"/>
    <w:next w:val="Normal"/>
    <w:qFormat/>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pPr>
      <w:keepNext/>
      <w:numPr>
        <w:numId w:val="2"/>
      </w:numPr>
      <w:outlineLvl w:val="3"/>
    </w:pPr>
    <w:rPr>
      <w:rFonts w:ascii="Courier New" w:hAnsi="Courier New"/>
      <w:b/>
      <w:szCs w:val="20"/>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numPr>
        <w:numId w:val="1"/>
      </w:numPr>
      <w:outlineLvl w:val="5"/>
    </w:pPr>
    <w:rPr>
      <w:b/>
      <w:szCs w:val="20"/>
    </w:rPr>
  </w:style>
  <w:style w:type="paragraph" w:styleId="Heading7">
    <w:name w:val="heading 7"/>
    <w:basedOn w:val="Normal"/>
    <w:next w:val="Normal"/>
    <w:qFormat/>
    <w:pPr>
      <w:keepNext/>
      <w:jc w:val="center"/>
      <w:outlineLvl w:val="6"/>
    </w:pPr>
    <w:rPr>
      <w:szCs w:val="20"/>
    </w:rPr>
  </w:style>
  <w:style w:type="paragraph" w:styleId="Heading8">
    <w:name w:val="heading 8"/>
    <w:basedOn w:val="Normal"/>
    <w:next w:val="Normal"/>
    <w:qFormat/>
    <w:pPr>
      <w:keepNext/>
      <w:tabs>
        <w:tab w:val="right" w:pos="8928"/>
      </w:tabs>
      <w:jc w:val="center"/>
      <w:outlineLvl w:val="7"/>
    </w:pPr>
    <w:rPr>
      <w:rFonts w:ascii="Arial" w:hAnsi="Arial" w:cs="Arial"/>
      <w:b/>
      <w:sz w:val="48"/>
    </w:rPr>
  </w:style>
  <w:style w:type="paragraph" w:styleId="Heading9">
    <w:name w:val="heading 9"/>
    <w:basedOn w:val="Normal"/>
    <w:next w:val="Normal"/>
    <w:qFormat/>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pPr>
      <w:spacing w:before="100" w:after="100"/>
    </w:pPr>
    <w:rPr>
      <w:rFonts w:eastAsia="Arial Unicode MS"/>
      <w:szCs w:val="20"/>
    </w:rPr>
  </w:style>
  <w:style w:type="paragraph" w:customStyle="1" w:styleId="APP-3A">
    <w:name w:val="APP-3A"/>
    <w:rPr>
      <w:rFonts w:ascii="Arial" w:hAnsi="Arial"/>
      <w:b/>
    </w:rPr>
  </w:style>
  <w:style w:type="paragraph" w:customStyle="1" w:styleId="xl33">
    <w:name w:val="xl33"/>
    <w:basedOn w:val="Normal"/>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rPr>
      <w:szCs w:val="20"/>
    </w:rPr>
  </w:style>
  <w:style w:type="paragraph" w:customStyle="1" w:styleId="xl27">
    <w:name w:val="xl27"/>
    <w:basedOn w:val="Normal"/>
    <w:pPr>
      <w:spacing w:before="100" w:after="100"/>
    </w:pPr>
    <w:rPr>
      <w:rFonts w:ascii="Arial" w:eastAsia="Arial Unicode MS" w:hAnsi="Arial"/>
      <w:b/>
      <w:szCs w:val="20"/>
    </w:rPr>
  </w:style>
  <w:style w:type="paragraph" w:styleId="FootnoteText">
    <w:name w:val="footnote text"/>
    <w:basedOn w:val="Normal"/>
    <w:semiHidden/>
    <w:rPr>
      <w:sz w:val="20"/>
      <w:szCs w:val="20"/>
    </w:rPr>
  </w:style>
  <w:style w:type="paragraph" w:customStyle="1" w:styleId="xl34">
    <w:name w:val="xl34"/>
    <w:basedOn w:val="Normal"/>
    <w:pPr>
      <w:spacing w:before="100" w:after="100"/>
      <w:jc w:val="center"/>
    </w:pPr>
    <w:rPr>
      <w:rFonts w:eastAsia="Arial Unicode MS"/>
      <w:b/>
      <w:sz w:val="20"/>
      <w:szCs w:val="20"/>
    </w:rPr>
  </w:style>
  <w:style w:type="paragraph" w:styleId="Title">
    <w:name w:val="Title"/>
    <w:basedOn w:val="Normal"/>
    <w:qFormat/>
    <w:pPr>
      <w:ind w:left="720"/>
      <w:jc w:val="center"/>
    </w:pPr>
    <w:rPr>
      <w:b/>
      <w:i/>
      <w:szCs w:val="20"/>
    </w:rPr>
  </w:style>
  <w:style w:type="paragraph" w:styleId="BodyText2">
    <w:name w:val="Body Text 2"/>
    <w:basedOn w:val="Normal"/>
    <w:rPr>
      <w:sz w:val="20"/>
      <w:szCs w:val="20"/>
    </w:rPr>
  </w:style>
  <w:style w:type="paragraph" w:styleId="Header">
    <w:name w:val="header"/>
    <w:basedOn w:val="Normal"/>
    <w:pPr>
      <w:tabs>
        <w:tab w:val="center" w:pos="4320"/>
        <w:tab w:val="right" w:pos="8640"/>
      </w:tabs>
    </w:pPr>
    <w:rPr>
      <w:rFonts w:ascii="CG Times" w:hAnsi="CG Times"/>
      <w:szCs w:val="20"/>
    </w:rPr>
  </w:style>
  <w:style w:type="paragraph" w:customStyle="1" w:styleId="xl24">
    <w:name w:val="xl24"/>
    <w:basedOn w:val="Normal"/>
    <w:pPr>
      <w:spacing w:before="100" w:after="100"/>
    </w:pPr>
    <w:rPr>
      <w:rFonts w:eastAsia="Arial Unicode MS"/>
      <w:szCs w:val="20"/>
      <w:u w:val="single"/>
    </w:rPr>
  </w:style>
  <w:style w:type="paragraph" w:styleId="BodyText3">
    <w:name w:val="Body Text 3"/>
    <w:basedOn w:val="Normal"/>
    <w:rPr>
      <w:color w:val="000000"/>
      <w:szCs w:val="20"/>
    </w:rPr>
  </w:style>
  <w:style w:type="paragraph" w:customStyle="1" w:styleId="xl22">
    <w:name w:val="xl22"/>
    <w:basedOn w:val="Normal"/>
    <w:pPr>
      <w:spacing w:before="100" w:after="100"/>
      <w:jc w:val="center"/>
    </w:pPr>
    <w:rPr>
      <w:rFonts w:eastAsia="Arial Unicode MS"/>
      <w:szCs w:val="20"/>
      <w:u w:val="single"/>
    </w:rPr>
  </w:style>
  <w:style w:type="paragraph" w:styleId="TOC1">
    <w:name w:val="toc 1"/>
    <w:basedOn w:val="Normal"/>
    <w:next w:val="Normal"/>
    <w:autoRedefine/>
    <w:semiHidden/>
    <w:pPr>
      <w:jc w:val="right"/>
    </w:pPr>
    <w:rPr>
      <w:szCs w:val="20"/>
    </w:rPr>
  </w:style>
  <w:style w:type="paragraph" w:styleId="TOAHeading">
    <w:name w:val="toa heading"/>
    <w:basedOn w:val="Normal"/>
    <w:next w:val="Normal"/>
    <w:semiHidden/>
    <w:pPr>
      <w:widowControl w:val="0"/>
      <w:tabs>
        <w:tab w:val="right" w:pos="9360"/>
      </w:tabs>
      <w:suppressAutoHyphens/>
    </w:pPr>
    <w:rPr>
      <w:rFonts w:ascii="Courier New" w:hAnsi="Courier New"/>
      <w:sz w:val="20"/>
      <w:szCs w:val="20"/>
    </w:rPr>
  </w:style>
  <w:style w:type="character" w:styleId="PageNumber">
    <w:name w:val="page number"/>
    <w:basedOn w:val="DefaultParagraphFont"/>
  </w:style>
  <w:style w:type="paragraph" w:styleId="BodyTextIndent">
    <w:name w:val="Body Text Indent"/>
    <w:basedOn w:val="Normal"/>
    <w:pPr>
      <w:tabs>
        <w:tab w:val="left" w:leader="dot" w:pos="7920"/>
        <w:tab w:val="right" w:pos="8640"/>
      </w:tabs>
      <w:ind w:left="720"/>
    </w:pPr>
    <w:rPr>
      <w:bCs/>
      <w:i/>
      <w:iCs/>
    </w:rPr>
  </w:style>
  <w:style w:type="paragraph" w:styleId="BalloonText">
    <w:name w:val="Balloon Text"/>
    <w:basedOn w:val="Normal"/>
    <w:semiHidden/>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FootnoteReference">
    <w:name w:val="footnote reference"/>
    <w:basedOn w:val="DefaultParagraphFont"/>
    <w:semiHidden/>
    <w:rsid w:val="00536E70"/>
    <w:rPr>
      <w:vertAlign w:val="superscript"/>
    </w:rPr>
  </w:style>
  <w:style w:type="paragraph" w:customStyle="1" w:styleId="Level1">
    <w:name w:val="Level 1"/>
    <w:rsid w:val="00536E70"/>
    <w:pPr>
      <w:autoSpaceDE w:val="0"/>
      <w:autoSpaceDN w:val="0"/>
      <w:adjustRightInd w:val="0"/>
      <w:ind w:left="720"/>
    </w:pPr>
    <w:rPr>
      <w:rFonts w:ascii="Line Printer 16.67cpi" w:hAnsi="Line Printer 16.67cpi"/>
      <w:szCs w:val="24"/>
    </w:rPr>
  </w:style>
  <w:style w:type="paragraph" w:styleId="BodyTextIndent2">
    <w:name w:val="Body Text Indent 2"/>
    <w:basedOn w:val="Normal"/>
    <w:rsid w:val="00C921D9"/>
    <w:pPr>
      <w:spacing w:after="120" w:line="480" w:lineRule="auto"/>
      <w:ind w:left="360"/>
    </w:pPr>
  </w:style>
  <w:style w:type="paragraph" w:styleId="BodyTextIndent3">
    <w:name w:val="Body Text Indent 3"/>
    <w:basedOn w:val="Normal"/>
    <w:rsid w:val="00C921D9"/>
    <w:pPr>
      <w:spacing w:after="120"/>
      <w:ind w:left="360"/>
    </w:pPr>
    <w:rPr>
      <w:sz w:val="16"/>
      <w:szCs w:val="16"/>
    </w:rPr>
  </w:style>
  <w:style w:type="paragraph" w:styleId="DocumentMap">
    <w:name w:val="Document Map"/>
    <w:basedOn w:val="Normal"/>
    <w:semiHidden/>
    <w:rsid w:val="0089101D"/>
    <w:pPr>
      <w:shd w:val="clear" w:color="auto" w:fill="000080"/>
    </w:pPr>
    <w:rPr>
      <w:rFonts w:ascii="Tahoma" w:hAnsi="Tahoma" w:cs="Tahoma"/>
      <w:sz w:val="20"/>
      <w:szCs w:val="20"/>
    </w:rPr>
  </w:style>
  <w:style w:type="paragraph" w:styleId="PlainText">
    <w:name w:val="Plain Text"/>
    <w:basedOn w:val="Normal"/>
    <w:rsid w:val="00D41E9B"/>
    <w:rPr>
      <w:rFonts w:ascii="Courier New" w:hAnsi="Courier New" w:cs="Courier New"/>
      <w:sz w:val="20"/>
      <w:szCs w:val="20"/>
    </w:rPr>
  </w:style>
  <w:style w:type="character" w:customStyle="1" w:styleId="FooterChar">
    <w:name w:val="Footer Char"/>
    <w:basedOn w:val="DefaultParagraphFont"/>
    <w:link w:val="Footer"/>
    <w:uiPriority w:val="99"/>
    <w:rsid w:val="00F63BED"/>
    <w:rPr>
      <w:rFonts w:ascii="Courier New" w:hAnsi="Courier New"/>
    </w:rPr>
  </w:style>
  <w:style w:type="paragraph" w:styleId="ListParagraph">
    <w:name w:val="List Paragraph"/>
    <w:basedOn w:val="Normal"/>
    <w:uiPriority w:val="34"/>
    <w:qFormat/>
    <w:rsid w:val="000F09B2"/>
    <w:pPr>
      <w:ind w:left="720"/>
    </w:pPr>
  </w:style>
  <w:style w:type="paragraph" w:styleId="Revision">
    <w:name w:val="Revision"/>
    <w:hidden/>
    <w:uiPriority w:val="99"/>
    <w:semiHidden/>
    <w:rsid w:val="00273F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qFormat/>
    <w:pPr>
      <w:keepNext/>
      <w:jc w:val="center"/>
      <w:outlineLvl w:val="0"/>
    </w:pPr>
    <w:rPr>
      <w:rFonts w:ascii="Courier" w:hAnsi="Courier"/>
      <w:b/>
      <w:szCs w:val="20"/>
    </w:rPr>
  </w:style>
  <w:style w:type="paragraph" w:styleId="Heading2">
    <w:name w:val="heading 2"/>
    <w:basedOn w:val="Normal"/>
    <w:next w:val="Normal"/>
    <w:qFormat/>
    <w:pPr>
      <w:keepNext/>
      <w:jc w:val="right"/>
      <w:outlineLvl w:val="1"/>
    </w:pPr>
    <w:rPr>
      <w:rFonts w:ascii="Arial" w:hAnsi="Arial"/>
      <w:b/>
      <w:sz w:val="20"/>
      <w:szCs w:val="20"/>
      <w:u w:val="single"/>
    </w:rPr>
  </w:style>
  <w:style w:type="paragraph" w:styleId="Heading3">
    <w:name w:val="heading 3"/>
    <w:basedOn w:val="Normal"/>
    <w:next w:val="Normal"/>
    <w:qFormat/>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pPr>
      <w:keepNext/>
      <w:numPr>
        <w:numId w:val="2"/>
      </w:numPr>
      <w:outlineLvl w:val="3"/>
    </w:pPr>
    <w:rPr>
      <w:rFonts w:ascii="Courier New" w:hAnsi="Courier New"/>
      <w:b/>
      <w:szCs w:val="20"/>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numPr>
        <w:numId w:val="1"/>
      </w:numPr>
      <w:outlineLvl w:val="5"/>
    </w:pPr>
    <w:rPr>
      <w:b/>
      <w:szCs w:val="20"/>
    </w:rPr>
  </w:style>
  <w:style w:type="paragraph" w:styleId="Heading7">
    <w:name w:val="heading 7"/>
    <w:basedOn w:val="Normal"/>
    <w:next w:val="Normal"/>
    <w:qFormat/>
    <w:pPr>
      <w:keepNext/>
      <w:jc w:val="center"/>
      <w:outlineLvl w:val="6"/>
    </w:pPr>
    <w:rPr>
      <w:szCs w:val="20"/>
    </w:rPr>
  </w:style>
  <w:style w:type="paragraph" w:styleId="Heading8">
    <w:name w:val="heading 8"/>
    <w:basedOn w:val="Normal"/>
    <w:next w:val="Normal"/>
    <w:qFormat/>
    <w:pPr>
      <w:keepNext/>
      <w:tabs>
        <w:tab w:val="right" w:pos="8928"/>
      </w:tabs>
      <w:jc w:val="center"/>
      <w:outlineLvl w:val="7"/>
    </w:pPr>
    <w:rPr>
      <w:rFonts w:ascii="Arial" w:hAnsi="Arial" w:cs="Arial"/>
      <w:b/>
      <w:sz w:val="48"/>
    </w:rPr>
  </w:style>
  <w:style w:type="paragraph" w:styleId="Heading9">
    <w:name w:val="heading 9"/>
    <w:basedOn w:val="Normal"/>
    <w:next w:val="Normal"/>
    <w:qFormat/>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pPr>
      <w:spacing w:before="100" w:after="100"/>
    </w:pPr>
    <w:rPr>
      <w:rFonts w:eastAsia="Arial Unicode MS"/>
      <w:szCs w:val="20"/>
    </w:rPr>
  </w:style>
  <w:style w:type="paragraph" w:customStyle="1" w:styleId="APP-3A">
    <w:name w:val="APP-3A"/>
    <w:rPr>
      <w:rFonts w:ascii="Arial" w:hAnsi="Arial"/>
      <w:b/>
    </w:rPr>
  </w:style>
  <w:style w:type="paragraph" w:customStyle="1" w:styleId="xl33">
    <w:name w:val="xl33"/>
    <w:basedOn w:val="Normal"/>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rPr>
      <w:szCs w:val="20"/>
    </w:rPr>
  </w:style>
  <w:style w:type="paragraph" w:customStyle="1" w:styleId="xl27">
    <w:name w:val="xl27"/>
    <w:basedOn w:val="Normal"/>
    <w:pPr>
      <w:spacing w:before="100" w:after="100"/>
    </w:pPr>
    <w:rPr>
      <w:rFonts w:ascii="Arial" w:eastAsia="Arial Unicode MS" w:hAnsi="Arial"/>
      <w:b/>
      <w:szCs w:val="20"/>
    </w:rPr>
  </w:style>
  <w:style w:type="paragraph" w:styleId="FootnoteText">
    <w:name w:val="footnote text"/>
    <w:basedOn w:val="Normal"/>
    <w:semiHidden/>
    <w:rPr>
      <w:sz w:val="20"/>
      <w:szCs w:val="20"/>
    </w:rPr>
  </w:style>
  <w:style w:type="paragraph" w:customStyle="1" w:styleId="xl34">
    <w:name w:val="xl34"/>
    <w:basedOn w:val="Normal"/>
    <w:pPr>
      <w:spacing w:before="100" w:after="100"/>
      <w:jc w:val="center"/>
    </w:pPr>
    <w:rPr>
      <w:rFonts w:eastAsia="Arial Unicode MS"/>
      <w:b/>
      <w:sz w:val="20"/>
      <w:szCs w:val="20"/>
    </w:rPr>
  </w:style>
  <w:style w:type="paragraph" w:styleId="Title">
    <w:name w:val="Title"/>
    <w:basedOn w:val="Normal"/>
    <w:qFormat/>
    <w:pPr>
      <w:ind w:left="720"/>
      <w:jc w:val="center"/>
    </w:pPr>
    <w:rPr>
      <w:b/>
      <w:i/>
      <w:szCs w:val="20"/>
    </w:rPr>
  </w:style>
  <w:style w:type="paragraph" w:styleId="BodyText2">
    <w:name w:val="Body Text 2"/>
    <w:basedOn w:val="Normal"/>
    <w:rPr>
      <w:sz w:val="20"/>
      <w:szCs w:val="20"/>
    </w:rPr>
  </w:style>
  <w:style w:type="paragraph" w:styleId="Header">
    <w:name w:val="header"/>
    <w:basedOn w:val="Normal"/>
    <w:pPr>
      <w:tabs>
        <w:tab w:val="center" w:pos="4320"/>
        <w:tab w:val="right" w:pos="8640"/>
      </w:tabs>
    </w:pPr>
    <w:rPr>
      <w:rFonts w:ascii="CG Times" w:hAnsi="CG Times"/>
      <w:szCs w:val="20"/>
    </w:rPr>
  </w:style>
  <w:style w:type="paragraph" w:customStyle="1" w:styleId="xl24">
    <w:name w:val="xl24"/>
    <w:basedOn w:val="Normal"/>
    <w:pPr>
      <w:spacing w:before="100" w:after="100"/>
    </w:pPr>
    <w:rPr>
      <w:rFonts w:eastAsia="Arial Unicode MS"/>
      <w:szCs w:val="20"/>
      <w:u w:val="single"/>
    </w:rPr>
  </w:style>
  <w:style w:type="paragraph" w:styleId="BodyText3">
    <w:name w:val="Body Text 3"/>
    <w:basedOn w:val="Normal"/>
    <w:rPr>
      <w:color w:val="000000"/>
      <w:szCs w:val="20"/>
    </w:rPr>
  </w:style>
  <w:style w:type="paragraph" w:customStyle="1" w:styleId="xl22">
    <w:name w:val="xl22"/>
    <w:basedOn w:val="Normal"/>
    <w:pPr>
      <w:spacing w:before="100" w:after="100"/>
      <w:jc w:val="center"/>
    </w:pPr>
    <w:rPr>
      <w:rFonts w:eastAsia="Arial Unicode MS"/>
      <w:szCs w:val="20"/>
      <w:u w:val="single"/>
    </w:rPr>
  </w:style>
  <w:style w:type="paragraph" w:styleId="TOC1">
    <w:name w:val="toc 1"/>
    <w:basedOn w:val="Normal"/>
    <w:next w:val="Normal"/>
    <w:autoRedefine/>
    <w:semiHidden/>
    <w:pPr>
      <w:jc w:val="right"/>
    </w:pPr>
    <w:rPr>
      <w:szCs w:val="20"/>
    </w:rPr>
  </w:style>
  <w:style w:type="paragraph" w:styleId="TOAHeading">
    <w:name w:val="toa heading"/>
    <w:basedOn w:val="Normal"/>
    <w:next w:val="Normal"/>
    <w:semiHidden/>
    <w:pPr>
      <w:widowControl w:val="0"/>
      <w:tabs>
        <w:tab w:val="right" w:pos="9360"/>
      </w:tabs>
      <w:suppressAutoHyphens/>
    </w:pPr>
    <w:rPr>
      <w:rFonts w:ascii="Courier New" w:hAnsi="Courier New"/>
      <w:sz w:val="20"/>
      <w:szCs w:val="20"/>
    </w:rPr>
  </w:style>
  <w:style w:type="character" w:styleId="PageNumber">
    <w:name w:val="page number"/>
    <w:basedOn w:val="DefaultParagraphFont"/>
  </w:style>
  <w:style w:type="paragraph" w:styleId="BodyTextIndent">
    <w:name w:val="Body Text Indent"/>
    <w:basedOn w:val="Normal"/>
    <w:pPr>
      <w:tabs>
        <w:tab w:val="left" w:leader="dot" w:pos="7920"/>
        <w:tab w:val="right" w:pos="8640"/>
      </w:tabs>
      <w:ind w:left="720"/>
    </w:pPr>
    <w:rPr>
      <w:bCs/>
      <w:i/>
      <w:iCs/>
    </w:rPr>
  </w:style>
  <w:style w:type="paragraph" w:styleId="BalloonText">
    <w:name w:val="Balloon Text"/>
    <w:basedOn w:val="Normal"/>
    <w:semiHidden/>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FootnoteReference">
    <w:name w:val="footnote reference"/>
    <w:basedOn w:val="DefaultParagraphFont"/>
    <w:semiHidden/>
    <w:rsid w:val="00536E70"/>
    <w:rPr>
      <w:vertAlign w:val="superscript"/>
    </w:rPr>
  </w:style>
  <w:style w:type="paragraph" w:customStyle="1" w:styleId="Level1">
    <w:name w:val="Level 1"/>
    <w:rsid w:val="00536E70"/>
    <w:pPr>
      <w:autoSpaceDE w:val="0"/>
      <w:autoSpaceDN w:val="0"/>
      <w:adjustRightInd w:val="0"/>
      <w:ind w:left="720"/>
    </w:pPr>
    <w:rPr>
      <w:rFonts w:ascii="Line Printer 16.67cpi" w:hAnsi="Line Printer 16.67cpi"/>
      <w:szCs w:val="24"/>
    </w:rPr>
  </w:style>
  <w:style w:type="paragraph" w:styleId="BodyTextIndent2">
    <w:name w:val="Body Text Indent 2"/>
    <w:basedOn w:val="Normal"/>
    <w:rsid w:val="00C921D9"/>
    <w:pPr>
      <w:spacing w:after="120" w:line="480" w:lineRule="auto"/>
      <w:ind w:left="360"/>
    </w:pPr>
  </w:style>
  <w:style w:type="paragraph" w:styleId="BodyTextIndent3">
    <w:name w:val="Body Text Indent 3"/>
    <w:basedOn w:val="Normal"/>
    <w:rsid w:val="00C921D9"/>
    <w:pPr>
      <w:spacing w:after="120"/>
      <w:ind w:left="360"/>
    </w:pPr>
    <w:rPr>
      <w:sz w:val="16"/>
      <w:szCs w:val="16"/>
    </w:rPr>
  </w:style>
  <w:style w:type="paragraph" w:styleId="DocumentMap">
    <w:name w:val="Document Map"/>
    <w:basedOn w:val="Normal"/>
    <w:semiHidden/>
    <w:rsid w:val="0089101D"/>
    <w:pPr>
      <w:shd w:val="clear" w:color="auto" w:fill="000080"/>
    </w:pPr>
    <w:rPr>
      <w:rFonts w:ascii="Tahoma" w:hAnsi="Tahoma" w:cs="Tahoma"/>
      <w:sz w:val="20"/>
      <w:szCs w:val="20"/>
    </w:rPr>
  </w:style>
  <w:style w:type="paragraph" w:styleId="PlainText">
    <w:name w:val="Plain Text"/>
    <w:basedOn w:val="Normal"/>
    <w:rsid w:val="00D41E9B"/>
    <w:rPr>
      <w:rFonts w:ascii="Courier New" w:hAnsi="Courier New" w:cs="Courier New"/>
      <w:sz w:val="20"/>
      <w:szCs w:val="20"/>
    </w:rPr>
  </w:style>
  <w:style w:type="character" w:customStyle="1" w:styleId="FooterChar">
    <w:name w:val="Footer Char"/>
    <w:basedOn w:val="DefaultParagraphFont"/>
    <w:link w:val="Footer"/>
    <w:uiPriority w:val="99"/>
    <w:rsid w:val="00F63BED"/>
    <w:rPr>
      <w:rFonts w:ascii="Courier New" w:hAnsi="Courier New"/>
    </w:rPr>
  </w:style>
  <w:style w:type="paragraph" w:styleId="ListParagraph">
    <w:name w:val="List Paragraph"/>
    <w:basedOn w:val="Normal"/>
    <w:uiPriority w:val="34"/>
    <w:qFormat/>
    <w:rsid w:val="000F09B2"/>
    <w:pPr>
      <w:ind w:left="720"/>
    </w:pPr>
  </w:style>
  <w:style w:type="paragraph" w:styleId="Revision">
    <w:name w:val="Revision"/>
    <w:hidden/>
    <w:uiPriority w:val="99"/>
    <w:semiHidden/>
    <w:rsid w:val="00273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74">
      <w:bodyDiv w:val="1"/>
      <w:marLeft w:val="0"/>
      <w:marRight w:val="0"/>
      <w:marTop w:val="0"/>
      <w:marBottom w:val="0"/>
      <w:divBdr>
        <w:top w:val="none" w:sz="0" w:space="0" w:color="auto"/>
        <w:left w:val="none" w:sz="0" w:space="0" w:color="auto"/>
        <w:bottom w:val="none" w:sz="0" w:space="0" w:color="auto"/>
        <w:right w:val="none" w:sz="0" w:space="0" w:color="auto"/>
      </w:divBdr>
    </w:div>
    <w:div w:id="71436467">
      <w:bodyDiv w:val="1"/>
      <w:marLeft w:val="0"/>
      <w:marRight w:val="0"/>
      <w:marTop w:val="0"/>
      <w:marBottom w:val="0"/>
      <w:divBdr>
        <w:top w:val="none" w:sz="0" w:space="0" w:color="auto"/>
        <w:left w:val="none" w:sz="0" w:space="0" w:color="auto"/>
        <w:bottom w:val="none" w:sz="0" w:space="0" w:color="auto"/>
        <w:right w:val="none" w:sz="0" w:space="0" w:color="auto"/>
      </w:divBdr>
    </w:div>
    <w:div w:id="124859405">
      <w:bodyDiv w:val="1"/>
      <w:marLeft w:val="0"/>
      <w:marRight w:val="0"/>
      <w:marTop w:val="0"/>
      <w:marBottom w:val="0"/>
      <w:divBdr>
        <w:top w:val="none" w:sz="0" w:space="0" w:color="auto"/>
        <w:left w:val="none" w:sz="0" w:space="0" w:color="auto"/>
        <w:bottom w:val="none" w:sz="0" w:space="0" w:color="auto"/>
        <w:right w:val="none" w:sz="0" w:space="0" w:color="auto"/>
      </w:divBdr>
    </w:div>
    <w:div w:id="156700437">
      <w:bodyDiv w:val="1"/>
      <w:marLeft w:val="0"/>
      <w:marRight w:val="0"/>
      <w:marTop w:val="0"/>
      <w:marBottom w:val="0"/>
      <w:divBdr>
        <w:top w:val="none" w:sz="0" w:space="0" w:color="auto"/>
        <w:left w:val="none" w:sz="0" w:space="0" w:color="auto"/>
        <w:bottom w:val="none" w:sz="0" w:space="0" w:color="auto"/>
        <w:right w:val="none" w:sz="0" w:space="0" w:color="auto"/>
      </w:divBdr>
    </w:div>
    <w:div w:id="180440500">
      <w:bodyDiv w:val="1"/>
      <w:marLeft w:val="0"/>
      <w:marRight w:val="0"/>
      <w:marTop w:val="0"/>
      <w:marBottom w:val="0"/>
      <w:divBdr>
        <w:top w:val="none" w:sz="0" w:space="0" w:color="auto"/>
        <w:left w:val="none" w:sz="0" w:space="0" w:color="auto"/>
        <w:bottom w:val="none" w:sz="0" w:space="0" w:color="auto"/>
        <w:right w:val="none" w:sz="0" w:space="0" w:color="auto"/>
      </w:divBdr>
    </w:div>
    <w:div w:id="190730920">
      <w:bodyDiv w:val="1"/>
      <w:marLeft w:val="0"/>
      <w:marRight w:val="0"/>
      <w:marTop w:val="0"/>
      <w:marBottom w:val="0"/>
      <w:divBdr>
        <w:top w:val="none" w:sz="0" w:space="0" w:color="auto"/>
        <w:left w:val="none" w:sz="0" w:space="0" w:color="auto"/>
        <w:bottom w:val="none" w:sz="0" w:space="0" w:color="auto"/>
        <w:right w:val="none" w:sz="0" w:space="0" w:color="auto"/>
      </w:divBdr>
    </w:div>
    <w:div w:id="211045257">
      <w:bodyDiv w:val="1"/>
      <w:marLeft w:val="0"/>
      <w:marRight w:val="0"/>
      <w:marTop w:val="0"/>
      <w:marBottom w:val="0"/>
      <w:divBdr>
        <w:top w:val="none" w:sz="0" w:space="0" w:color="auto"/>
        <w:left w:val="none" w:sz="0" w:space="0" w:color="auto"/>
        <w:bottom w:val="none" w:sz="0" w:space="0" w:color="auto"/>
        <w:right w:val="none" w:sz="0" w:space="0" w:color="auto"/>
      </w:divBdr>
    </w:div>
    <w:div w:id="220135654">
      <w:bodyDiv w:val="1"/>
      <w:marLeft w:val="0"/>
      <w:marRight w:val="0"/>
      <w:marTop w:val="0"/>
      <w:marBottom w:val="0"/>
      <w:divBdr>
        <w:top w:val="none" w:sz="0" w:space="0" w:color="auto"/>
        <w:left w:val="none" w:sz="0" w:space="0" w:color="auto"/>
        <w:bottom w:val="none" w:sz="0" w:space="0" w:color="auto"/>
        <w:right w:val="none" w:sz="0" w:space="0" w:color="auto"/>
      </w:divBdr>
    </w:div>
    <w:div w:id="243146388">
      <w:bodyDiv w:val="1"/>
      <w:marLeft w:val="0"/>
      <w:marRight w:val="0"/>
      <w:marTop w:val="0"/>
      <w:marBottom w:val="0"/>
      <w:divBdr>
        <w:top w:val="none" w:sz="0" w:space="0" w:color="auto"/>
        <w:left w:val="none" w:sz="0" w:space="0" w:color="auto"/>
        <w:bottom w:val="none" w:sz="0" w:space="0" w:color="auto"/>
        <w:right w:val="none" w:sz="0" w:space="0" w:color="auto"/>
      </w:divBdr>
    </w:div>
    <w:div w:id="271982628">
      <w:bodyDiv w:val="1"/>
      <w:marLeft w:val="0"/>
      <w:marRight w:val="0"/>
      <w:marTop w:val="0"/>
      <w:marBottom w:val="0"/>
      <w:divBdr>
        <w:top w:val="none" w:sz="0" w:space="0" w:color="auto"/>
        <w:left w:val="none" w:sz="0" w:space="0" w:color="auto"/>
        <w:bottom w:val="none" w:sz="0" w:space="0" w:color="auto"/>
        <w:right w:val="none" w:sz="0" w:space="0" w:color="auto"/>
      </w:divBdr>
    </w:div>
    <w:div w:id="275985945">
      <w:bodyDiv w:val="1"/>
      <w:marLeft w:val="0"/>
      <w:marRight w:val="0"/>
      <w:marTop w:val="0"/>
      <w:marBottom w:val="0"/>
      <w:divBdr>
        <w:top w:val="none" w:sz="0" w:space="0" w:color="auto"/>
        <w:left w:val="none" w:sz="0" w:space="0" w:color="auto"/>
        <w:bottom w:val="none" w:sz="0" w:space="0" w:color="auto"/>
        <w:right w:val="none" w:sz="0" w:space="0" w:color="auto"/>
      </w:divBdr>
    </w:div>
    <w:div w:id="310791150">
      <w:bodyDiv w:val="1"/>
      <w:marLeft w:val="0"/>
      <w:marRight w:val="0"/>
      <w:marTop w:val="0"/>
      <w:marBottom w:val="0"/>
      <w:divBdr>
        <w:top w:val="none" w:sz="0" w:space="0" w:color="auto"/>
        <w:left w:val="none" w:sz="0" w:space="0" w:color="auto"/>
        <w:bottom w:val="none" w:sz="0" w:space="0" w:color="auto"/>
        <w:right w:val="none" w:sz="0" w:space="0" w:color="auto"/>
      </w:divBdr>
    </w:div>
    <w:div w:id="337000909">
      <w:bodyDiv w:val="1"/>
      <w:marLeft w:val="0"/>
      <w:marRight w:val="0"/>
      <w:marTop w:val="0"/>
      <w:marBottom w:val="0"/>
      <w:divBdr>
        <w:top w:val="none" w:sz="0" w:space="0" w:color="auto"/>
        <w:left w:val="none" w:sz="0" w:space="0" w:color="auto"/>
        <w:bottom w:val="none" w:sz="0" w:space="0" w:color="auto"/>
        <w:right w:val="none" w:sz="0" w:space="0" w:color="auto"/>
      </w:divBdr>
    </w:div>
    <w:div w:id="351805882">
      <w:bodyDiv w:val="1"/>
      <w:marLeft w:val="0"/>
      <w:marRight w:val="0"/>
      <w:marTop w:val="0"/>
      <w:marBottom w:val="0"/>
      <w:divBdr>
        <w:top w:val="none" w:sz="0" w:space="0" w:color="auto"/>
        <w:left w:val="none" w:sz="0" w:space="0" w:color="auto"/>
        <w:bottom w:val="none" w:sz="0" w:space="0" w:color="auto"/>
        <w:right w:val="none" w:sz="0" w:space="0" w:color="auto"/>
      </w:divBdr>
    </w:div>
    <w:div w:id="352417901">
      <w:bodyDiv w:val="1"/>
      <w:marLeft w:val="0"/>
      <w:marRight w:val="0"/>
      <w:marTop w:val="0"/>
      <w:marBottom w:val="0"/>
      <w:divBdr>
        <w:top w:val="none" w:sz="0" w:space="0" w:color="auto"/>
        <w:left w:val="none" w:sz="0" w:space="0" w:color="auto"/>
        <w:bottom w:val="none" w:sz="0" w:space="0" w:color="auto"/>
        <w:right w:val="none" w:sz="0" w:space="0" w:color="auto"/>
      </w:divBdr>
    </w:div>
    <w:div w:id="367338485">
      <w:bodyDiv w:val="1"/>
      <w:marLeft w:val="0"/>
      <w:marRight w:val="0"/>
      <w:marTop w:val="0"/>
      <w:marBottom w:val="0"/>
      <w:divBdr>
        <w:top w:val="none" w:sz="0" w:space="0" w:color="auto"/>
        <w:left w:val="none" w:sz="0" w:space="0" w:color="auto"/>
        <w:bottom w:val="none" w:sz="0" w:space="0" w:color="auto"/>
        <w:right w:val="none" w:sz="0" w:space="0" w:color="auto"/>
      </w:divBdr>
    </w:div>
    <w:div w:id="371538151">
      <w:bodyDiv w:val="1"/>
      <w:marLeft w:val="0"/>
      <w:marRight w:val="0"/>
      <w:marTop w:val="0"/>
      <w:marBottom w:val="0"/>
      <w:divBdr>
        <w:top w:val="none" w:sz="0" w:space="0" w:color="auto"/>
        <w:left w:val="none" w:sz="0" w:space="0" w:color="auto"/>
        <w:bottom w:val="none" w:sz="0" w:space="0" w:color="auto"/>
        <w:right w:val="none" w:sz="0" w:space="0" w:color="auto"/>
      </w:divBdr>
    </w:div>
    <w:div w:id="377626293">
      <w:bodyDiv w:val="1"/>
      <w:marLeft w:val="0"/>
      <w:marRight w:val="0"/>
      <w:marTop w:val="0"/>
      <w:marBottom w:val="0"/>
      <w:divBdr>
        <w:top w:val="none" w:sz="0" w:space="0" w:color="auto"/>
        <w:left w:val="none" w:sz="0" w:space="0" w:color="auto"/>
        <w:bottom w:val="none" w:sz="0" w:space="0" w:color="auto"/>
        <w:right w:val="none" w:sz="0" w:space="0" w:color="auto"/>
      </w:divBdr>
    </w:div>
    <w:div w:id="380977721">
      <w:bodyDiv w:val="1"/>
      <w:marLeft w:val="0"/>
      <w:marRight w:val="0"/>
      <w:marTop w:val="0"/>
      <w:marBottom w:val="0"/>
      <w:divBdr>
        <w:top w:val="none" w:sz="0" w:space="0" w:color="auto"/>
        <w:left w:val="none" w:sz="0" w:space="0" w:color="auto"/>
        <w:bottom w:val="none" w:sz="0" w:space="0" w:color="auto"/>
        <w:right w:val="none" w:sz="0" w:space="0" w:color="auto"/>
      </w:divBdr>
    </w:div>
    <w:div w:id="483084711">
      <w:bodyDiv w:val="1"/>
      <w:marLeft w:val="0"/>
      <w:marRight w:val="0"/>
      <w:marTop w:val="0"/>
      <w:marBottom w:val="0"/>
      <w:divBdr>
        <w:top w:val="none" w:sz="0" w:space="0" w:color="auto"/>
        <w:left w:val="none" w:sz="0" w:space="0" w:color="auto"/>
        <w:bottom w:val="none" w:sz="0" w:space="0" w:color="auto"/>
        <w:right w:val="none" w:sz="0" w:space="0" w:color="auto"/>
      </w:divBdr>
    </w:div>
    <w:div w:id="530538821">
      <w:bodyDiv w:val="1"/>
      <w:marLeft w:val="0"/>
      <w:marRight w:val="0"/>
      <w:marTop w:val="0"/>
      <w:marBottom w:val="0"/>
      <w:divBdr>
        <w:top w:val="none" w:sz="0" w:space="0" w:color="auto"/>
        <w:left w:val="none" w:sz="0" w:space="0" w:color="auto"/>
        <w:bottom w:val="none" w:sz="0" w:space="0" w:color="auto"/>
        <w:right w:val="none" w:sz="0" w:space="0" w:color="auto"/>
      </w:divBdr>
    </w:div>
    <w:div w:id="545873571">
      <w:bodyDiv w:val="1"/>
      <w:marLeft w:val="0"/>
      <w:marRight w:val="0"/>
      <w:marTop w:val="0"/>
      <w:marBottom w:val="0"/>
      <w:divBdr>
        <w:top w:val="none" w:sz="0" w:space="0" w:color="auto"/>
        <w:left w:val="none" w:sz="0" w:space="0" w:color="auto"/>
        <w:bottom w:val="none" w:sz="0" w:space="0" w:color="auto"/>
        <w:right w:val="none" w:sz="0" w:space="0" w:color="auto"/>
      </w:divBdr>
    </w:div>
    <w:div w:id="551817001">
      <w:bodyDiv w:val="1"/>
      <w:marLeft w:val="0"/>
      <w:marRight w:val="0"/>
      <w:marTop w:val="0"/>
      <w:marBottom w:val="0"/>
      <w:divBdr>
        <w:top w:val="none" w:sz="0" w:space="0" w:color="auto"/>
        <w:left w:val="none" w:sz="0" w:space="0" w:color="auto"/>
        <w:bottom w:val="none" w:sz="0" w:space="0" w:color="auto"/>
        <w:right w:val="none" w:sz="0" w:space="0" w:color="auto"/>
      </w:divBdr>
    </w:div>
    <w:div w:id="558976331">
      <w:bodyDiv w:val="1"/>
      <w:marLeft w:val="0"/>
      <w:marRight w:val="0"/>
      <w:marTop w:val="0"/>
      <w:marBottom w:val="0"/>
      <w:divBdr>
        <w:top w:val="none" w:sz="0" w:space="0" w:color="auto"/>
        <w:left w:val="none" w:sz="0" w:space="0" w:color="auto"/>
        <w:bottom w:val="none" w:sz="0" w:space="0" w:color="auto"/>
        <w:right w:val="none" w:sz="0" w:space="0" w:color="auto"/>
      </w:divBdr>
    </w:div>
    <w:div w:id="574555543">
      <w:bodyDiv w:val="1"/>
      <w:marLeft w:val="0"/>
      <w:marRight w:val="0"/>
      <w:marTop w:val="0"/>
      <w:marBottom w:val="0"/>
      <w:divBdr>
        <w:top w:val="none" w:sz="0" w:space="0" w:color="auto"/>
        <w:left w:val="none" w:sz="0" w:space="0" w:color="auto"/>
        <w:bottom w:val="none" w:sz="0" w:space="0" w:color="auto"/>
        <w:right w:val="none" w:sz="0" w:space="0" w:color="auto"/>
      </w:divBdr>
    </w:div>
    <w:div w:id="581333546">
      <w:bodyDiv w:val="1"/>
      <w:marLeft w:val="0"/>
      <w:marRight w:val="0"/>
      <w:marTop w:val="0"/>
      <w:marBottom w:val="0"/>
      <w:divBdr>
        <w:top w:val="none" w:sz="0" w:space="0" w:color="auto"/>
        <w:left w:val="none" w:sz="0" w:space="0" w:color="auto"/>
        <w:bottom w:val="none" w:sz="0" w:space="0" w:color="auto"/>
        <w:right w:val="none" w:sz="0" w:space="0" w:color="auto"/>
      </w:divBdr>
    </w:div>
    <w:div w:id="602877645">
      <w:bodyDiv w:val="1"/>
      <w:marLeft w:val="0"/>
      <w:marRight w:val="0"/>
      <w:marTop w:val="0"/>
      <w:marBottom w:val="0"/>
      <w:divBdr>
        <w:top w:val="none" w:sz="0" w:space="0" w:color="auto"/>
        <w:left w:val="none" w:sz="0" w:space="0" w:color="auto"/>
        <w:bottom w:val="none" w:sz="0" w:space="0" w:color="auto"/>
        <w:right w:val="none" w:sz="0" w:space="0" w:color="auto"/>
      </w:divBdr>
    </w:div>
    <w:div w:id="619796759">
      <w:bodyDiv w:val="1"/>
      <w:marLeft w:val="0"/>
      <w:marRight w:val="0"/>
      <w:marTop w:val="0"/>
      <w:marBottom w:val="0"/>
      <w:divBdr>
        <w:top w:val="none" w:sz="0" w:space="0" w:color="auto"/>
        <w:left w:val="none" w:sz="0" w:space="0" w:color="auto"/>
        <w:bottom w:val="none" w:sz="0" w:space="0" w:color="auto"/>
        <w:right w:val="none" w:sz="0" w:space="0" w:color="auto"/>
      </w:divBdr>
    </w:div>
    <w:div w:id="641734698">
      <w:bodyDiv w:val="1"/>
      <w:marLeft w:val="0"/>
      <w:marRight w:val="0"/>
      <w:marTop w:val="0"/>
      <w:marBottom w:val="0"/>
      <w:divBdr>
        <w:top w:val="none" w:sz="0" w:space="0" w:color="auto"/>
        <w:left w:val="none" w:sz="0" w:space="0" w:color="auto"/>
        <w:bottom w:val="none" w:sz="0" w:space="0" w:color="auto"/>
        <w:right w:val="none" w:sz="0" w:space="0" w:color="auto"/>
      </w:divBdr>
    </w:div>
    <w:div w:id="750127590">
      <w:bodyDiv w:val="1"/>
      <w:marLeft w:val="0"/>
      <w:marRight w:val="0"/>
      <w:marTop w:val="0"/>
      <w:marBottom w:val="0"/>
      <w:divBdr>
        <w:top w:val="none" w:sz="0" w:space="0" w:color="auto"/>
        <w:left w:val="none" w:sz="0" w:space="0" w:color="auto"/>
        <w:bottom w:val="none" w:sz="0" w:space="0" w:color="auto"/>
        <w:right w:val="none" w:sz="0" w:space="0" w:color="auto"/>
      </w:divBdr>
    </w:div>
    <w:div w:id="759909511">
      <w:bodyDiv w:val="1"/>
      <w:marLeft w:val="0"/>
      <w:marRight w:val="0"/>
      <w:marTop w:val="0"/>
      <w:marBottom w:val="0"/>
      <w:divBdr>
        <w:top w:val="none" w:sz="0" w:space="0" w:color="auto"/>
        <w:left w:val="none" w:sz="0" w:space="0" w:color="auto"/>
        <w:bottom w:val="none" w:sz="0" w:space="0" w:color="auto"/>
        <w:right w:val="none" w:sz="0" w:space="0" w:color="auto"/>
      </w:divBdr>
    </w:div>
    <w:div w:id="784427341">
      <w:bodyDiv w:val="1"/>
      <w:marLeft w:val="0"/>
      <w:marRight w:val="0"/>
      <w:marTop w:val="0"/>
      <w:marBottom w:val="0"/>
      <w:divBdr>
        <w:top w:val="none" w:sz="0" w:space="0" w:color="auto"/>
        <w:left w:val="none" w:sz="0" w:space="0" w:color="auto"/>
        <w:bottom w:val="none" w:sz="0" w:space="0" w:color="auto"/>
        <w:right w:val="none" w:sz="0" w:space="0" w:color="auto"/>
      </w:divBdr>
    </w:div>
    <w:div w:id="802894205">
      <w:bodyDiv w:val="1"/>
      <w:marLeft w:val="0"/>
      <w:marRight w:val="0"/>
      <w:marTop w:val="0"/>
      <w:marBottom w:val="0"/>
      <w:divBdr>
        <w:top w:val="none" w:sz="0" w:space="0" w:color="auto"/>
        <w:left w:val="none" w:sz="0" w:space="0" w:color="auto"/>
        <w:bottom w:val="none" w:sz="0" w:space="0" w:color="auto"/>
        <w:right w:val="none" w:sz="0" w:space="0" w:color="auto"/>
      </w:divBdr>
    </w:div>
    <w:div w:id="856652268">
      <w:bodyDiv w:val="1"/>
      <w:marLeft w:val="0"/>
      <w:marRight w:val="0"/>
      <w:marTop w:val="0"/>
      <w:marBottom w:val="0"/>
      <w:divBdr>
        <w:top w:val="none" w:sz="0" w:space="0" w:color="auto"/>
        <w:left w:val="none" w:sz="0" w:space="0" w:color="auto"/>
        <w:bottom w:val="none" w:sz="0" w:space="0" w:color="auto"/>
        <w:right w:val="none" w:sz="0" w:space="0" w:color="auto"/>
      </w:divBdr>
    </w:div>
    <w:div w:id="878322245">
      <w:bodyDiv w:val="1"/>
      <w:marLeft w:val="0"/>
      <w:marRight w:val="0"/>
      <w:marTop w:val="0"/>
      <w:marBottom w:val="0"/>
      <w:divBdr>
        <w:top w:val="none" w:sz="0" w:space="0" w:color="auto"/>
        <w:left w:val="none" w:sz="0" w:space="0" w:color="auto"/>
        <w:bottom w:val="none" w:sz="0" w:space="0" w:color="auto"/>
        <w:right w:val="none" w:sz="0" w:space="0" w:color="auto"/>
      </w:divBdr>
    </w:div>
    <w:div w:id="889146282">
      <w:bodyDiv w:val="1"/>
      <w:marLeft w:val="0"/>
      <w:marRight w:val="0"/>
      <w:marTop w:val="0"/>
      <w:marBottom w:val="0"/>
      <w:divBdr>
        <w:top w:val="none" w:sz="0" w:space="0" w:color="auto"/>
        <w:left w:val="none" w:sz="0" w:space="0" w:color="auto"/>
        <w:bottom w:val="none" w:sz="0" w:space="0" w:color="auto"/>
        <w:right w:val="none" w:sz="0" w:space="0" w:color="auto"/>
      </w:divBdr>
    </w:div>
    <w:div w:id="894050624">
      <w:bodyDiv w:val="1"/>
      <w:marLeft w:val="0"/>
      <w:marRight w:val="0"/>
      <w:marTop w:val="0"/>
      <w:marBottom w:val="0"/>
      <w:divBdr>
        <w:top w:val="none" w:sz="0" w:space="0" w:color="auto"/>
        <w:left w:val="none" w:sz="0" w:space="0" w:color="auto"/>
        <w:bottom w:val="none" w:sz="0" w:space="0" w:color="auto"/>
        <w:right w:val="none" w:sz="0" w:space="0" w:color="auto"/>
      </w:divBdr>
    </w:div>
    <w:div w:id="897209561">
      <w:bodyDiv w:val="1"/>
      <w:marLeft w:val="0"/>
      <w:marRight w:val="0"/>
      <w:marTop w:val="0"/>
      <w:marBottom w:val="0"/>
      <w:divBdr>
        <w:top w:val="none" w:sz="0" w:space="0" w:color="auto"/>
        <w:left w:val="none" w:sz="0" w:space="0" w:color="auto"/>
        <w:bottom w:val="none" w:sz="0" w:space="0" w:color="auto"/>
        <w:right w:val="none" w:sz="0" w:space="0" w:color="auto"/>
      </w:divBdr>
    </w:div>
    <w:div w:id="949316596">
      <w:bodyDiv w:val="1"/>
      <w:marLeft w:val="0"/>
      <w:marRight w:val="0"/>
      <w:marTop w:val="0"/>
      <w:marBottom w:val="0"/>
      <w:divBdr>
        <w:top w:val="none" w:sz="0" w:space="0" w:color="auto"/>
        <w:left w:val="none" w:sz="0" w:space="0" w:color="auto"/>
        <w:bottom w:val="none" w:sz="0" w:space="0" w:color="auto"/>
        <w:right w:val="none" w:sz="0" w:space="0" w:color="auto"/>
      </w:divBdr>
    </w:div>
    <w:div w:id="972515678">
      <w:bodyDiv w:val="1"/>
      <w:marLeft w:val="0"/>
      <w:marRight w:val="0"/>
      <w:marTop w:val="0"/>
      <w:marBottom w:val="0"/>
      <w:divBdr>
        <w:top w:val="none" w:sz="0" w:space="0" w:color="auto"/>
        <w:left w:val="none" w:sz="0" w:space="0" w:color="auto"/>
        <w:bottom w:val="none" w:sz="0" w:space="0" w:color="auto"/>
        <w:right w:val="none" w:sz="0" w:space="0" w:color="auto"/>
      </w:divBdr>
    </w:div>
    <w:div w:id="997269936">
      <w:bodyDiv w:val="1"/>
      <w:marLeft w:val="0"/>
      <w:marRight w:val="0"/>
      <w:marTop w:val="0"/>
      <w:marBottom w:val="0"/>
      <w:divBdr>
        <w:top w:val="none" w:sz="0" w:space="0" w:color="auto"/>
        <w:left w:val="none" w:sz="0" w:space="0" w:color="auto"/>
        <w:bottom w:val="none" w:sz="0" w:space="0" w:color="auto"/>
        <w:right w:val="none" w:sz="0" w:space="0" w:color="auto"/>
      </w:divBdr>
    </w:div>
    <w:div w:id="1085348453">
      <w:bodyDiv w:val="1"/>
      <w:marLeft w:val="0"/>
      <w:marRight w:val="0"/>
      <w:marTop w:val="0"/>
      <w:marBottom w:val="0"/>
      <w:divBdr>
        <w:top w:val="none" w:sz="0" w:space="0" w:color="auto"/>
        <w:left w:val="none" w:sz="0" w:space="0" w:color="auto"/>
        <w:bottom w:val="none" w:sz="0" w:space="0" w:color="auto"/>
        <w:right w:val="none" w:sz="0" w:space="0" w:color="auto"/>
      </w:divBdr>
    </w:div>
    <w:div w:id="1087507633">
      <w:bodyDiv w:val="1"/>
      <w:marLeft w:val="0"/>
      <w:marRight w:val="0"/>
      <w:marTop w:val="0"/>
      <w:marBottom w:val="0"/>
      <w:divBdr>
        <w:top w:val="none" w:sz="0" w:space="0" w:color="auto"/>
        <w:left w:val="none" w:sz="0" w:space="0" w:color="auto"/>
        <w:bottom w:val="none" w:sz="0" w:space="0" w:color="auto"/>
        <w:right w:val="none" w:sz="0" w:space="0" w:color="auto"/>
      </w:divBdr>
    </w:div>
    <w:div w:id="1096825206">
      <w:bodyDiv w:val="1"/>
      <w:marLeft w:val="0"/>
      <w:marRight w:val="0"/>
      <w:marTop w:val="0"/>
      <w:marBottom w:val="0"/>
      <w:divBdr>
        <w:top w:val="none" w:sz="0" w:space="0" w:color="auto"/>
        <w:left w:val="none" w:sz="0" w:space="0" w:color="auto"/>
        <w:bottom w:val="none" w:sz="0" w:space="0" w:color="auto"/>
        <w:right w:val="none" w:sz="0" w:space="0" w:color="auto"/>
      </w:divBdr>
    </w:div>
    <w:div w:id="1102531315">
      <w:bodyDiv w:val="1"/>
      <w:marLeft w:val="0"/>
      <w:marRight w:val="0"/>
      <w:marTop w:val="0"/>
      <w:marBottom w:val="0"/>
      <w:divBdr>
        <w:top w:val="none" w:sz="0" w:space="0" w:color="auto"/>
        <w:left w:val="none" w:sz="0" w:space="0" w:color="auto"/>
        <w:bottom w:val="none" w:sz="0" w:space="0" w:color="auto"/>
        <w:right w:val="none" w:sz="0" w:space="0" w:color="auto"/>
      </w:divBdr>
    </w:div>
    <w:div w:id="1115519335">
      <w:bodyDiv w:val="1"/>
      <w:marLeft w:val="0"/>
      <w:marRight w:val="0"/>
      <w:marTop w:val="0"/>
      <w:marBottom w:val="0"/>
      <w:divBdr>
        <w:top w:val="none" w:sz="0" w:space="0" w:color="auto"/>
        <w:left w:val="none" w:sz="0" w:space="0" w:color="auto"/>
        <w:bottom w:val="none" w:sz="0" w:space="0" w:color="auto"/>
        <w:right w:val="none" w:sz="0" w:space="0" w:color="auto"/>
      </w:divBdr>
    </w:div>
    <w:div w:id="1138180596">
      <w:bodyDiv w:val="1"/>
      <w:marLeft w:val="0"/>
      <w:marRight w:val="0"/>
      <w:marTop w:val="0"/>
      <w:marBottom w:val="0"/>
      <w:divBdr>
        <w:top w:val="none" w:sz="0" w:space="0" w:color="auto"/>
        <w:left w:val="none" w:sz="0" w:space="0" w:color="auto"/>
        <w:bottom w:val="none" w:sz="0" w:space="0" w:color="auto"/>
        <w:right w:val="none" w:sz="0" w:space="0" w:color="auto"/>
      </w:divBdr>
    </w:div>
    <w:div w:id="1154371089">
      <w:bodyDiv w:val="1"/>
      <w:marLeft w:val="0"/>
      <w:marRight w:val="0"/>
      <w:marTop w:val="0"/>
      <w:marBottom w:val="0"/>
      <w:divBdr>
        <w:top w:val="none" w:sz="0" w:space="0" w:color="auto"/>
        <w:left w:val="none" w:sz="0" w:space="0" w:color="auto"/>
        <w:bottom w:val="none" w:sz="0" w:space="0" w:color="auto"/>
        <w:right w:val="none" w:sz="0" w:space="0" w:color="auto"/>
      </w:divBdr>
    </w:div>
    <w:div w:id="1202133441">
      <w:bodyDiv w:val="1"/>
      <w:marLeft w:val="0"/>
      <w:marRight w:val="0"/>
      <w:marTop w:val="0"/>
      <w:marBottom w:val="0"/>
      <w:divBdr>
        <w:top w:val="none" w:sz="0" w:space="0" w:color="auto"/>
        <w:left w:val="none" w:sz="0" w:space="0" w:color="auto"/>
        <w:bottom w:val="none" w:sz="0" w:space="0" w:color="auto"/>
        <w:right w:val="none" w:sz="0" w:space="0" w:color="auto"/>
      </w:divBdr>
    </w:div>
    <w:div w:id="1206523771">
      <w:bodyDiv w:val="1"/>
      <w:marLeft w:val="0"/>
      <w:marRight w:val="0"/>
      <w:marTop w:val="0"/>
      <w:marBottom w:val="0"/>
      <w:divBdr>
        <w:top w:val="none" w:sz="0" w:space="0" w:color="auto"/>
        <w:left w:val="none" w:sz="0" w:space="0" w:color="auto"/>
        <w:bottom w:val="none" w:sz="0" w:space="0" w:color="auto"/>
        <w:right w:val="none" w:sz="0" w:space="0" w:color="auto"/>
      </w:divBdr>
    </w:div>
    <w:div w:id="1211110160">
      <w:bodyDiv w:val="1"/>
      <w:marLeft w:val="0"/>
      <w:marRight w:val="0"/>
      <w:marTop w:val="0"/>
      <w:marBottom w:val="0"/>
      <w:divBdr>
        <w:top w:val="none" w:sz="0" w:space="0" w:color="auto"/>
        <w:left w:val="none" w:sz="0" w:space="0" w:color="auto"/>
        <w:bottom w:val="none" w:sz="0" w:space="0" w:color="auto"/>
        <w:right w:val="none" w:sz="0" w:space="0" w:color="auto"/>
      </w:divBdr>
    </w:div>
    <w:div w:id="1212959959">
      <w:bodyDiv w:val="1"/>
      <w:marLeft w:val="0"/>
      <w:marRight w:val="0"/>
      <w:marTop w:val="0"/>
      <w:marBottom w:val="0"/>
      <w:divBdr>
        <w:top w:val="none" w:sz="0" w:space="0" w:color="auto"/>
        <w:left w:val="none" w:sz="0" w:space="0" w:color="auto"/>
        <w:bottom w:val="none" w:sz="0" w:space="0" w:color="auto"/>
        <w:right w:val="none" w:sz="0" w:space="0" w:color="auto"/>
      </w:divBdr>
    </w:div>
    <w:div w:id="1264612035">
      <w:bodyDiv w:val="1"/>
      <w:marLeft w:val="0"/>
      <w:marRight w:val="0"/>
      <w:marTop w:val="0"/>
      <w:marBottom w:val="0"/>
      <w:divBdr>
        <w:top w:val="none" w:sz="0" w:space="0" w:color="auto"/>
        <w:left w:val="none" w:sz="0" w:space="0" w:color="auto"/>
        <w:bottom w:val="none" w:sz="0" w:space="0" w:color="auto"/>
        <w:right w:val="none" w:sz="0" w:space="0" w:color="auto"/>
      </w:divBdr>
    </w:div>
    <w:div w:id="1344086408">
      <w:bodyDiv w:val="1"/>
      <w:marLeft w:val="0"/>
      <w:marRight w:val="0"/>
      <w:marTop w:val="0"/>
      <w:marBottom w:val="0"/>
      <w:divBdr>
        <w:top w:val="none" w:sz="0" w:space="0" w:color="auto"/>
        <w:left w:val="none" w:sz="0" w:space="0" w:color="auto"/>
        <w:bottom w:val="none" w:sz="0" w:space="0" w:color="auto"/>
        <w:right w:val="none" w:sz="0" w:space="0" w:color="auto"/>
      </w:divBdr>
    </w:div>
    <w:div w:id="1358968686">
      <w:bodyDiv w:val="1"/>
      <w:marLeft w:val="0"/>
      <w:marRight w:val="0"/>
      <w:marTop w:val="0"/>
      <w:marBottom w:val="0"/>
      <w:divBdr>
        <w:top w:val="none" w:sz="0" w:space="0" w:color="auto"/>
        <w:left w:val="none" w:sz="0" w:space="0" w:color="auto"/>
        <w:bottom w:val="none" w:sz="0" w:space="0" w:color="auto"/>
        <w:right w:val="none" w:sz="0" w:space="0" w:color="auto"/>
      </w:divBdr>
    </w:div>
    <w:div w:id="1376925737">
      <w:bodyDiv w:val="1"/>
      <w:marLeft w:val="0"/>
      <w:marRight w:val="0"/>
      <w:marTop w:val="0"/>
      <w:marBottom w:val="0"/>
      <w:divBdr>
        <w:top w:val="none" w:sz="0" w:space="0" w:color="auto"/>
        <w:left w:val="none" w:sz="0" w:space="0" w:color="auto"/>
        <w:bottom w:val="none" w:sz="0" w:space="0" w:color="auto"/>
        <w:right w:val="none" w:sz="0" w:space="0" w:color="auto"/>
      </w:divBdr>
    </w:div>
    <w:div w:id="1377316405">
      <w:bodyDiv w:val="1"/>
      <w:marLeft w:val="0"/>
      <w:marRight w:val="0"/>
      <w:marTop w:val="0"/>
      <w:marBottom w:val="0"/>
      <w:divBdr>
        <w:top w:val="none" w:sz="0" w:space="0" w:color="auto"/>
        <w:left w:val="none" w:sz="0" w:space="0" w:color="auto"/>
        <w:bottom w:val="none" w:sz="0" w:space="0" w:color="auto"/>
        <w:right w:val="none" w:sz="0" w:space="0" w:color="auto"/>
      </w:divBdr>
    </w:div>
    <w:div w:id="1418557146">
      <w:bodyDiv w:val="1"/>
      <w:marLeft w:val="0"/>
      <w:marRight w:val="0"/>
      <w:marTop w:val="0"/>
      <w:marBottom w:val="0"/>
      <w:divBdr>
        <w:top w:val="none" w:sz="0" w:space="0" w:color="auto"/>
        <w:left w:val="none" w:sz="0" w:space="0" w:color="auto"/>
        <w:bottom w:val="none" w:sz="0" w:space="0" w:color="auto"/>
        <w:right w:val="none" w:sz="0" w:space="0" w:color="auto"/>
      </w:divBdr>
    </w:div>
    <w:div w:id="1437945888">
      <w:bodyDiv w:val="1"/>
      <w:marLeft w:val="0"/>
      <w:marRight w:val="0"/>
      <w:marTop w:val="0"/>
      <w:marBottom w:val="0"/>
      <w:divBdr>
        <w:top w:val="none" w:sz="0" w:space="0" w:color="auto"/>
        <w:left w:val="none" w:sz="0" w:space="0" w:color="auto"/>
        <w:bottom w:val="none" w:sz="0" w:space="0" w:color="auto"/>
        <w:right w:val="none" w:sz="0" w:space="0" w:color="auto"/>
      </w:divBdr>
    </w:div>
    <w:div w:id="1450205322">
      <w:bodyDiv w:val="1"/>
      <w:marLeft w:val="0"/>
      <w:marRight w:val="0"/>
      <w:marTop w:val="0"/>
      <w:marBottom w:val="0"/>
      <w:divBdr>
        <w:top w:val="none" w:sz="0" w:space="0" w:color="auto"/>
        <w:left w:val="none" w:sz="0" w:space="0" w:color="auto"/>
        <w:bottom w:val="none" w:sz="0" w:space="0" w:color="auto"/>
        <w:right w:val="none" w:sz="0" w:space="0" w:color="auto"/>
      </w:divBdr>
    </w:div>
    <w:div w:id="1458597006">
      <w:bodyDiv w:val="1"/>
      <w:marLeft w:val="0"/>
      <w:marRight w:val="0"/>
      <w:marTop w:val="0"/>
      <w:marBottom w:val="0"/>
      <w:divBdr>
        <w:top w:val="none" w:sz="0" w:space="0" w:color="auto"/>
        <w:left w:val="none" w:sz="0" w:space="0" w:color="auto"/>
        <w:bottom w:val="none" w:sz="0" w:space="0" w:color="auto"/>
        <w:right w:val="none" w:sz="0" w:space="0" w:color="auto"/>
      </w:divBdr>
    </w:div>
    <w:div w:id="1463573180">
      <w:bodyDiv w:val="1"/>
      <w:marLeft w:val="0"/>
      <w:marRight w:val="0"/>
      <w:marTop w:val="0"/>
      <w:marBottom w:val="0"/>
      <w:divBdr>
        <w:top w:val="none" w:sz="0" w:space="0" w:color="auto"/>
        <w:left w:val="none" w:sz="0" w:space="0" w:color="auto"/>
        <w:bottom w:val="none" w:sz="0" w:space="0" w:color="auto"/>
        <w:right w:val="none" w:sz="0" w:space="0" w:color="auto"/>
      </w:divBdr>
    </w:div>
    <w:div w:id="1489176791">
      <w:bodyDiv w:val="1"/>
      <w:marLeft w:val="0"/>
      <w:marRight w:val="0"/>
      <w:marTop w:val="0"/>
      <w:marBottom w:val="0"/>
      <w:divBdr>
        <w:top w:val="none" w:sz="0" w:space="0" w:color="auto"/>
        <w:left w:val="none" w:sz="0" w:space="0" w:color="auto"/>
        <w:bottom w:val="none" w:sz="0" w:space="0" w:color="auto"/>
        <w:right w:val="none" w:sz="0" w:space="0" w:color="auto"/>
      </w:divBdr>
    </w:div>
    <w:div w:id="1527986472">
      <w:bodyDiv w:val="1"/>
      <w:marLeft w:val="0"/>
      <w:marRight w:val="0"/>
      <w:marTop w:val="0"/>
      <w:marBottom w:val="0"/>
      <w:divBdr>
        <w:top w:val="none" w:sz="0" w:space="0" w:color="auto"/>
        <w:left w:val="none" w:sz="0" w:space="0" w:color="auto"/>
        <w:bottom w:val="none" w:sz="0" w:space="0" w:color="auto"/>
        <w:right w:val="none" w:sz="0" w:space="0" w:color="auto"/>
      </w:divBdr>
    </w:div>
    <w:div w:id="1553807233">
      <w:bodyDiv w:val="1"/>
      <w:marLeft w:val="0"/>
      <w:marRight w:val="0"/>
      <w:marTop w:val="0"/>
      <w:marBottom w:val="0"/>
      <w:divBdr>
        <w:top w:val="none" w:sz="0" w:space="0" w:color="auto"/>
        <w:left w:val="none" w:sz="0" w:space="0" w:color="auto"/>
        <w:bottom w:val="none" w:sz="0" w:space="0" w:color="auto"/>
        <w:right w:val="none" w:sz="0" w:space="0" w:color="auto"/>
      </w:divBdr>
    </w:div>
    <w:div w:id="1606577399">
      <w:bodyDiv w:val="1"/>
      <w:marLeft w:val="0"/>
      <w:marRight w:val="0"/>
      <w:marTop w:val="0"/>
      <w:marBottom w:val="0"/>
      <w:divBdr>
        <w:top w:val="none" w:sz="0" w:space="0" w:color="auto"/>
        <w:left w:val="none" w:sz="0" w:space="0" w:color="auto"/>
        <w:bottom w:val="none" w:sz="0" w:space="0" w:color="auto"/>
        <w:right w:val="none" w:sz="0" w:space="0" w:color="auto"/>
      </w:divBdr>
    </w:div>
    <w:div w:id="1631009502">
      <w:bodyDiv w:val="1"/>
      <w:marLeft w:val="0"/>
      <w:marRight w:val="0"/>
      <w:marTop w:val="0"/>
      <w:marBottom w:val="0"/>
      <w:divBdr>
        <w:top w:val="none" w:sz="0" w:space="0" w:color="auto"/>
        <w:left w:val="none" w:sz="0" w:space="0" w:color="auto"/>
        <w:bottom w:val="none" w:sz="0" w:space="0" w:color="auto"/>
        <w:right w:val="none" w:sz="0" w:space="0" w:color="auto"/>
      </w:divBdr>
    </w:div>
    <w:div w:id="1649240891">
      <w:bodyDiv w:val="1"/>
      <w:marLeft w:val="0"/>
      <w:marRight w:val="0"/>
      <w:marTop w:val="0"/>
      <w:marBottom w:val="0"/>
      <w:divBdr>
        <w:top w:val="none" w:sz="0" w:space="0" w:color="auto"/>
        <w:left w:val="none" w:sz="0" w:space="0" w:color="auto"/>
        <w:bottom w:val="none" w:sz="0" w:space="0" w:color="auto"/>
        <w:right w:val="none" w:sz="0" w:space="0" w:color="auto"/>
      </w:divBdr>
    </w:div>
    <w:div w:id="1675837792">
      <w:bodyDiv w:val="1"/>
      <w:marLeft w:val="0"/>
      <w:marRight w:val="0"/>
      <w:marTop w:val="0"/>
      <w:marBottom w:val="0"/>
      <w:divBdr>
        <w:top w:val="none" w:sz="0" w:space="0" w:color="auto"/>
        <w:left w:val="none" w:sz="0" w:space="0" w:color="auto"/>
        <w:bottom w:val="none" w:sz="0" w:space="0" w:color="auto"/>
        <w:right w:val="none" w:sz="0" w:space="0" w:color="auto"/>
      </w:divBdr>
    </w:div>
    <w:div w:id="1687364296">
      <w:bodyDiv w:val="1"/>
      <w:marLeft w:val="0"/>
      <w:marRight w:val="0"/>
      <w:marTop w:val="0"/>
      <w:marBottom w:val="0"/>
      <w:divBdr>
        <w:top w:val="none" w:sz="0" w:space="0" w:color="auto"/>
        <w:left w:val="none" w:sz="0" w:space="0" w:color="auto"/>
        <w:bottom w:val="none" w:sz="0" w:space="0" w:color="auto"/>
        <w:right w:val="none" w:sz="0" w:space="0" w:color="auto"/>
      </w:divBdr>
    </w:div>
    <w:div w:id="1712147085">
      <w:bodyDiv w:val="1"/>
      <w:marLeft w:val="0"/>
      <w:marRight w:val="0"/>
      <w:marTop w:val="0"/>
      <w:marBottom w:val="0"/>
      <w:divBdr>
        <w:top w:val="none" w:sz="0" w:space="0" w:color="auto"/>
        <w:left w:val="none" w:sz="0" w:space="0" w:color="auto"/>
        <w:bottom w:val="none" w:sz="0" w:space="0" w:color="auto"/>
        <w:right w:val="none" w:sz="0" w:space="0" w:color="auto"/>
      </w:divBdr>
    </w:div>
    <w:div w:id="1725566755">
      <w:bodyDiv w:val="1"/>
      <w:marLeft w:val="0"/>
      <w:marRight w:val="0"/>
      <w:marTop w:val="0"/>
      <w:marBottom w:val="0"/>
      <w:divBdr>
        <w:top w:val="none" w:sz="0" w:space="0" w:color="auto"/>
        <w:left w:val="none" w:sz="0" w:space="0" w:color="auto"/>
        <w:bottom w:val="none" w:sz="0" w:space="0" w:color="auto"/>
        <w:right w:val="none" w:sz="0" w:space="0" w:color="auto"/>
      </w:divBdr>
    </w:div>
    <w:div w:id="1819498437">
      <w:bodyDiv w:val="1"/>
      <w:marLeft w:val="0"/>
      <w:marRight w:val="0"/>
      <w:marTop w:val="0"/>
      <w:marBottom w:val="0"/>
      <w:divBdr>
        <w:top w:val="none" w:sz="0" w:space="0" w:color="auto"/>
        <w:left w:val="none" w:sz="0" w:space="0" w:color="auto"/>
        <w:bottom w:val="none" w:sz="0" w:space="0" w:color="auto"/>
        <w:right w:val="none" w:sz="0" w:space="0" w:color="auto"/>
      </w:divBdr>
    </w:div>
    <w:div w:id="1861777782">
      <w:bodyDiv w:val="1"/>
      <w:marLeft w:val="0"/>
      <w:marRight w:val="0"/>
      <w:marTop w:val="0"/>
      <w:marBottom w:val="0"/>
      <w:divBdr>
        <w:top w:val="none" w:sz="0" w:space="0" w:color="auto"/>
        <w:left w:val="none" w:sz="0" w:space="0" w:color="auto"/>
        <w:bottom w:val="none" w:sz="0" w:space="0" w:color="auto"/>
        <w:right w:val="none" w:sz="0" w:space="0" w:color="auto"/>
      </w:divBdr>
    </w:div>
    <w:div w:id="1916431120">
      <w:bodyDiv w:val="1"/>
      <w:marLeft w:val="0"/>
      <w:marRight w:val="0"/>
      <w:marTop w:val="0"/>
      <w:marBottom w:val="0"/>
      <w:divBdr>
        <w:top w:val="none" w:sz="0" w:space="0" w:color="auto"/>
        <w:left w:val="none" w:sz="0" w:space="0" w:color="auto"/>
        <w:bottom w:val="none" w:sz="0" w:space="0" w:color="auto"/>
        <w:right w:val="none" w:sz="0" w:space="0" w:color="auto"/>
      </w:divBdr>
    </w:div>
    <w:div w:id="1959675250">
      <w:bodyDiv w:val="1"/>
      <w:marLeft w:val="0"/>
      <w:marRight w:val="0"/>
      <w:marTop w:val="0"/>
      <w:marBottom w:val="0"/>
      <w:divBdr>
        <w:top w:val="none" w:sz="0" w:space="0" w:color="auto"/>
        <w:left w:val="none" w:sz="0" w:space="0" w:color="auto"/>
        <w:bottom w:val="none" w:sz="0" w:space="0" w:color="auto"/>
        <w:right w:val="none" w:sz="0" w:space="0" w:color="auto"/>
      </w:divBdr>
    </w:div>
    <w:div w:id="1991400029">
      <w:bodyDiv w:val="1"/>
      <w:marLeft w:val="0"/>
      <w:marRight w:val="0"/>
      <w:marTop w:val="0"/>
      <w:marBottom w:val="0"/>
      <w:divBdr>
        <w:top w:val="none" w:sz="0" w:space="0" w:color="auto"/>
        <w:left w:val="none" w:sz="0" w:space="0" w:color="auto"/>
        <w:bottom w:val="none" w:sz="0" w:space="0" w:color="auto"/>
        <w:right w:val="none" w:sz="0" w:space="0" w:color="auto"/>
      </w:divBdr>
    </w:div>
    <w:div w:id="2022732702">
      <w:bodyDiv w:val="1"/>
      <w:marLeft w:val="0"/>
      <w:marRight w:val="0"/>
      <w:marTop w:val="0"/>
      <w:marBottom w:val="0"/>
      <w:divBdr>
        <w:top w:val="none" w:sz="0" w:space="0" w:color="auto"/>
        <w:left w:val="none" w:sz="0" w:space="0" w:color="auto"/>
        <w:bottom w:val="none" w:sz="0" w:space="0" w:color="auto"/>
        <w:right w:val="none" w:sz="0" w:space="0" w:color="auto"/>
      </w:divBdr>
    </w:div>
    <w:div w:id="2029528492">
      <w:bodyDiv w:val="1"/>
      <w:marLeft w:val="0"/>
      <w:marRight w:val="0"/>
      <w:marTop w:val="0"/>
      <w:marBottom w:val="0"/>
      <w:divBdr>
        <w:top w:val="none" w:sz="0" w:space="0" w:color="auto"/>
        <w:left w:val="none" w:sz="0" w:space="0" w:color="auto"/>
        <w:bottom w:val="none" w:sz="0" w:space="0" w:color="auto"/>
        <w:right w:val="none" w:sz="0" w:space="0" w:color="auto"/>
      </w:divBdr>
    </w:div>
    <w:div w:id="2031907305">
      <w:bodyDiv w:val="1"/>
      <w:marLeft w:val="0"/>
      <w:marRight w:val="0"/>
      <w:marTop w:val="0"/>
      <w:marBottom w:val="0"/>
      <w:divBdr>
        <w:top w:val="none" w:sz="0" w:space="0" w:color="auto"/>
        <w:left w:val="none" w:sz="0" w:space="0" w:color="auto"/>
        <w:bottom w:val="none" w:sz="0" w:space="0" w:color="auto"/>
        <w:right w:val="none" w:sz="0" w:space="0" w:color="auto"/>
      </w:divBdr>
    </w:div>
    <w:div w:id="2064137497">
      <w:bodyDiv w:val="1"/>
      <w:marLeft w:val="0"/>
      <w:marRight w:val="0"/>
      <w:marTop w:val="0"/>
      <w:marBottom w:val="0"/>
      <w:divBdr>
        <w:top w:val="none" w:sz="0" w:space="0" w:color="auto"/>
        <w:left w:val="none" w:sz="0" w:space="0" w:color="auto"/>
        <w:bottom w:val="none" w:sz="0" w:space="0" w:color="auto"/>
        <w:right w:val="none" w:sz="0" w:space="0" w:color="auto"/>
      </w:divBdr>
    </w:div>
    <w:div w:id="2076850576">
      <w:bodyDiv w:val="1"/>
      <w:marLeft w:val="0"/>
      <w:marRight w:val="0"/>
      <w:marTop w:val="0"/>
      <w:marBottom w:val="0"/>
      <w:divBdr>
        <w:top w:val="none" w:sz="0" w:space="0" w:color="auto"/>
        <w:left w:val="none" w:sz="0" w:space="0" w:color="auto"/>
        <w:bottom w:val="none" w:sz="0" w:space="0" w:color="auto"/>
        <w:right w:val="none" w:sz="0" w:space="0" w:color="auto"/>
      </w:divBdr>
    </w:div>
    <w:div w:id="2085108850">
      <w:bodyDiv w:val="1"/>
      <w:marLeft w:val="0"/>
      <w:marRight w:val="0"/>
      <w:marTop w:val="0"/>
      <w:marBottom w:val="0"/>
      <w:divBdr>
        <w:top w:val="none" w:sz="0" w:space="0" w:color="auto"/>
        <w:left w:val="none" w:sz="0" w:space="0" w:color="auto"/>
        <w:bottom w:val="none" w:sz="0" w:space="0" w:color="auto"/>
        <w:right w:val="none" w:sz="0" w:space="0" w:color="auto"/>
      </w:divBdr>
    </w:div>
    <w:div w:id="2095324466">
      <w:bodyDiv w:val="1"/>
      <w:marLeft w:val="0"/>
      <w:marRight w:val="0"/>
      <w:marTop w:val="0"/>
      <w:marBottom w:val="0"/>
      <w:divBdr>
        <w:top w:val="none" w:sz="0" w:space="0" w:color="auto"/>
        <w:left w:val="none" w:sz="0" w:space="0" w:color="auto"/>
        <w:bottom w:val="none" w:sz="0" w:space="0" w:color="auto"/>
        <w:right w:val="none" w:sz="0" w:space="0" w:color="auto"/>
      </w:divBdr>
    </w:div>
    <w:div w:id="2099476742">
      <w:bodyDiv w:val="1"/>
      <w:marLeft w:val="0"/>
      <w:marRight w:val="0"/>
      <w:marTop w:val="0"/>
      <w:marBottom w:val="0"/>
      <w:divBdr>
        <w:top w:val="none" w:sz="0" w:space="0" w:color="auto"/>
        <w:left w:val="none" w:sz="0" w:space="0" w:color="auto"/>
        <w:bottom w:val="none" w:sz="0" w:space="0" w:color="auto"/>
        <w:right w:val="none" w:sz="0" w:space="0" w:color="auto"/>
      </w:divBdr>
    </w:div>
    <w:div w:id="2100247992">
      <w:bodyDiv w:val="1"/>
      <w:marLeft w:val="0"/>
      <w:marRight w:val="0"/>
      <w:marTop w:val="0"/>
      <w:marBottom w:val="0"/>
      <w:divBdr>
        <w:top w:val="none" w:sz="0" w:space="0" w:color="auto"/>
        <w:left w:val="none" w:sz="0" w:space="0" w:color="auto"/>
        <w:bottom w:val="none" w:sz="0" w:space="0" w:color="auto"/>
        <w:right w:val="none" w:sz="0" w:space="0" w:color="auto"/>
      </w:divBdr>
    </w:div>
    <w:div w:id="21309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1.xls"/><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BAC0-B1B8-4BEC-8911-D3E90286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33310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sgill</cp:lastModifiedBy>
  <cp:revision>2</cp:revision>
  <cp:lastPrinted>2013-03-29T16:49:00Z</cp:lastPrinted>
  <dcterms:created xsi:type="dcterms:W3CDTF">2013-04-08T17:45:00Z</dcterms:created>
  <dcterms:modified xsi:type="dcterms:W3CDTF">2013-04-08T17:45:00Z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