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52" w:rsidRDefault="00466752" w:rsidP="006813C7">
      <w:pPr>
        <w:pStyle w:val="BodyText"/>
        <w:rPr>
          <w:i/>
          <w:iCs/>
        </w:rPr>
      </w:pPr>
    </w:p>
    <w:p w:rsidR="00B413F6" w:rsidRDefault="00B413F6" w:rsidP="006813C7">
      <w:pPr>
        <w:pStyle w:val="BodyText"/>
        <w:rPr>
          <w:i/>
          <w:iCs/>
        </w:rPr>
      </w:pPr>
    </w:p>
    <w:p w:rsidR="00466752" w:rsidRDefault="00466752" w:rsidP="006813C7">
      <w:pPr>
        <w:pStyle w:val="BodyText"/>
        <w:rPr>
          <w:i/>
          <w:iCs/>
        </w:rPr>
      </w:pPr>
    </w:p>
    <w:p w:rsidR="00466752" w:rsidRDefault="00466752" w:rsidP="006813C7">
      <w:pPr>
        <w:pStyle w:val="BodyText"/>
        <w:rPr>
          <w:i/>
          <w:iCs/>
        </w:rPr>
      </w:pPr>
    </w:p>
    <w:p w:rsidR="00466752" w:rsidRDefault="00466752" w:rsidP="006813C7">
      <w:pPr>
        <w:pStyle w:val="BodyText"/>
        <w:rPr>
          <w:i/>
          <w:iCs/>
        </w:rPr>
      </w:pPr>
    </w:p>
    <w:p w:rsidR="00466752" w:rsidRDefault="00466752" w:rsidP="006813C7">
      <w:pPr>
        <w:pStyle w:val="BodyText"/>
        <w:rPr>
          <w:i/>
          <w:iCs/>
        </w:rPr>
      </w:pPr>
    </w:p>
    <w:p w:rsidR="006813C7" w:rsidRDefault="006813C7" w:rsidP="006813C7">
      <w:pPr>
        <w:pStyle w:val="BodyText"/>
        <w:rPr>
          <w:iCs/>
        </w:rPr>
      </w:pPr>
    </w:p>
    <w:p w:rsidR="006813C7" w:rsidRDefault="006813C7" w:rsidP="006813C7">
      <w:pPr>
        <w:pStyle w:val="BodyText"/>
        <w:rPr>
          <w:i/>
          <w:iCs/>
        </w:rPr>
      </w:pPr>
      <w:r>
        <w:rPr>
          <w:i/>
          <w:iCs/>
        </w:rPr>
        <w:t xml:space="preserve"> </w:t>
      </w:r>
    </w:p>
    <w:p w:rsidR="004D3124" w:rsidRDefault="00C60EEC" w:rsidP="003953B5">
      <w:pPr>
        <w:pStyle w:val="Footer"/>
        <w:tabs>
          <w:tab w:val="clear" w:pos="8640"/>
          <w:tab w:val="left" w:leader="dot" w:pos="4320"/>
        </w:tabs>
        <w:jc w:val="center"/>
        <w:rPr>
          <w:rFonts w:ascii="Times New Roman" w:hAnsi="Times New Roman"/>
          <w:b/>
          <w:sz w:val="36"/>
        </w:rPr>
      </w:pPr>
      <w:r>
        <w:rPr>
          <w:rFonts w:ascii="Times New Roman" w:hAnsi="Times New Roman"/>
          <w:b/>
          <w:sz w:val="36"/>
        </w:rPr>
        <w:t>Congressional Submission</w:t>
      </w:r>
    </w:p>
    <w:p w:rsidR="004D3124" w:rsidRDefault="004D3124" w:rsidP="004D3124">
      <w:pPr>
        <w:pStyle w:val="Footer"/>
        <w:tabs>
          <w:tab w:val="clear" w:pos="8640"/>
          <w:tab w:val="left" w:leader="dot" w:pos="4320"/>
        </w:tabs>
        <w:jc w:val="center"/>
        <w:rPr>
          <w:rFonts w:ascii="Times New Roman" w:hAnsi="Times New Roman"/>
          <w:b/>
          <w:sz w:val="36"/>
        </w:rPr>
      </w:pPr>
    </w:p>
    <w:p w:rsidR="004D3124" w:rsidRDefault="004D3124" w:rsidP="004D3124">
      <w:pPr>
        <w:pStyle w:val="Footer"/>
        <w:tabs>
          <w:tab w:val="clear" w:pos="8640"/>
          <w:tab w:val="left" w:leader="dot" w:pos="4320"/>
        </w:tabs>
        <w:jc w:val="center"/>
        <w:rPr>
          <w:rFonts w:ascii="Times New Roman" w:hAnsi="Times New Roman"/>
          <w:b/>
          <w:sz w:val="36"/>
        </w:rPr>
      </w:pPr>
      <w:r>
        <w:rPr>
          <w:rFonts w:ascii="Times New Roman" w:hAnsi="Times New Roman"/>
          <w:b/>
          <w:sz w:val="36"/>
        </w:rPr>
        <w:t>FOREIGN CLAIMS SETTLEMENT COMMISSION</w:t>
      </w:r>
    </w:p>
    <w:p w:rsidR="004D3124" w:rsidRDefault="004D3124" w:rsidP="004D3124">
      <w:pPr>
        <w:pStyle w:val="Footer"/>
        <w:tabs>
          <w:tab w:val="clear" w:pos="8640"/>
          <w:tab w:val="left" w:leader="dot" w:pos="4320"/>
        </w:tabs>
        <w:jc w:val="center"/>
        <w:rPr>
          <w:rFonts w:ascii="Times New Roman" w:hAnsi="Times New Roman"/>
          <w:b/>
          <w:sz w:val="36"/>
        </w:rPr>
      </w:pPr>
    </w:p>
    <w:p w:rsidR="004D3124" w:rsidRDefault="004D3124" w:rsidP="004D3124">
      <w:pPr>
        <w:pStyle w:val="Footer"/>
        <w:tabs>
          <w:tab w:val="clear" w:pos="8640"/>
          <w:tab w:val="left" w:leader="dot" w:pos="4320"/>
        </w:tabs>
        <w:jc w:val="center"/>
        <w:rPr>
          <w:rFonts w:ascii="Times New Roman" w:hAnsi="Times New Roman"/>
          <w:b/>
          <w:sz w:val="36"/>
        </w:rPr>
      </w:pPr>
    </w:p>
    <w:p w:rsidR="004D3124" w:rsidRDefault="004D3124" w:rsidP="004D3124">
      <w:pPr>
        <w:pStyle w:val="Footer"/>
        <w:tabs>
          <w:tab w:val="clear" w:pos="8640"/>
          <w:tab w:val="left" w:leader="dot" w:pos="4320"/>
        </w:tabs>
        <w:jc w:val="center"/>
        <w:rPr>
          <w:rFonts w:ascii="Times New Roman" w:hAnsi="Times New Roman"/>
          <w:b/>
          <w:sz w:val="36"/>
        </w:rPr>
      </w:pPr>
      <w:r>
        <w:rPr>
          <w:rFonts w:ascii="Times New Roman" w:hAnsi="Times New Roman"/>
          <w:b/>
          <w:sz w:val="36"/>
        </w:rPr>
        <w:t>U.S. Department of Justice</w:t>
      </w:r>
    </w:p>
    <w:p w:rsidR="004D3124" w:rsidRDefault="004D3124" w:rsidP="004D3124">
      <w:pPr>
        <w:pStyle w:val="Footer"/>
        <w:tabs>
          <w:tab w:val="clear" w:pos="8640"/>
          <w:tab w:val="left" w:leader="dot" w:pos="4320"/>
        </w:tabs>
        <w:jc w:val="center"/>
        <w:rPr>
          <w:rFonts w:ascii="Times New Roman" w:hAnsi="Times New Roman"/>
          <w:b/>
        </w:rPr>
      </w:pPr>
    </w:p>
    <w:p w:rsidR="004D3124" w:rsidRDefault="004D3124" w:rsidP="004D3124">
      <w:pPr>
        <w:pStyle w:val="Footer"/>
        <w:tabs>
          <w:tab w:val="clear" w:pos="8640"/>
          <w:tab w:val="left" w:leader="dot" w:pos="4320"/>
        </w:tabs>
        <w:jc w:val="center"/>
        <w:rPr>
          <w:rFonts w:ascii="Times New Roman" w:hAnsi="Times New Roman" w:cs="Arial"/>
          <w:b/>
          <w:sz w:val="36"/>
        </w:rPr>
      </w:pPr>
      <w:r>
        <w:rPr>
          <w:rFonts w:ascii="Times New Roman" w:hAnsi="Times New Roman" w:cs="Arial"/>
          <w:b/>
          <w:sz w:val="36"/>
        </w:rPr>
        <w:t>FY 2014 PERFORMANCE BUDGET</w:t>
      </w:r>
    </w:p>
    <w:p w:rsidR="004D3124" w:rsidRDefault="004D3124" w:rsidP="004D3124">
      <w:pPr>
        <w:pStyle w:val="xl27"/>
        <w:tabs>
          <w:tab w:val="right" w:pos="8928"/>
        </w:tabs>
        <w:spacing w:before="0" w:after="0"/>
        <w:outlineLvl w:val="0"/>
        <w:rPr>
          <w:rFonts w:ascii="Times New Roman" w:eastAsia="Times New Roman" w:hAnsi="Times New Roman"/>
          <w:szCs w:val="24"/>
        </w:rPr>
      </w:pPr>
    </w:p>
    <w:p w:rsidR="004D3124" w:rsidRDefault="004D3124" w:rsidP="004D3124">
      <w:pPr>
        <w:pStyle w:val="xl27"/>
        <w:tabs>
          <w:tab w:val="right" w:pos="8928"/>
        </w:tabs>
        <w:spacing w:before="0" w:after="0"/>
        <w:outlineLvl w:val="0"/>
        <w:rPr>
          <w:rFonts w:ascii="Times New Roman" w:eastAsia="Times New Roman" w:hAnsi="Times New Roman"/>
          <w:szCs w:val="24"/>
        </w:rPr>
      </w:pPr>
      <w:r>
        <w:rPr>
          <w:rFonts w:ascii="Times New Roman" w:eastAsia="Times New Roman" w:hAnsi="Times New Roman"/>
          <w:szCs w:val="24"/>
        </w:rPr>
        <w:t xml:space="preserve">    </w:t>
      </w:r>
    </w:p>
    <w:p w:rsidR="006813C7" w:rsidRDefault="006813C7"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EE2BC8" w:rsidRDefault="00EE2BC8" w:rsidP="006813C7">
      <w:pPr>
        <w:pStyle w:val="Footer"/>
        <w:tabs>
          <w:tab w:val="clear" w:pos="8640"/>
          <w:tab w:val="left" w:leader="dot" w:pos="4320"/>
        </w:tabs>
        <w:rPr>
          <w:rFonts w:ascii="Times New Roman" w:hAnsi="Times New Roman"/>
          <w:b/>
          <w:sz w:val="28"/>
          <w:szCs w:val="28"/>
        </w:rPr>
      </w:pPr>
    </w:p>
    <w:p w:rsidR="006813C7" w:rsidRDefault="006813C7" w:rsidP="006813C7"/>
    <w:p w:rsidR="006813C7" w:rsidRDefault="006813C7" w:rsidP="006813C7">
      <w:pPr>
        <w:rPr>
          <w:i/>
          <w:iCs/>
        </w:rPr>
      </w:pPr>
    </w:p>
    <w:p w:rsidR="000C1533" w:rsidRDefault="000C1533" w:rsidP="000C1533">
      <w:pPr>
        <w:pStyle w:val="Heading1"/>
        <w:tabs>
          <w:tab w:val="left" w:leader="dot" w:pos="7920"/>
          <w:tab w:val="right" w:pos="8640"/>
        </w:tabs>
        <w:rPr>
          <w:rFonts w:ascii="Times New Roman" w:hAnsi="Times New Roman"/>
        </w:rPr>
      </w:pPr>
      <w:r>
        <w:rPr>
          <w:rFonts w:ascii="Times New Roman" w:hAnsi="Times New Roman"/>
        </w:rPr>
        <w:t>Table of Contents</w:t>
      </w:r>
    </w:p>
    <w:p w:rsidR="000C1533" w:rsidRDefault="000C1533" w:rsidP="000C1533">
      <w:pPr>
        <w:tabs>
          <w:tab w:val="left" w:leader="dot" w:pos="7920"/>
          <w:tab w:val="right" w:pos="8640"/>
        </w:tabs>
        <w:rPr>
          <w:b/>
        </w:rPr>
      </w:pPr>
    </w:p>
    <w:p w:rsidR="000C1533" w:rsidRDefault="000C1533" w:rsidP="000C1533">
      <w:pPr>
        <w:pStyle w:val="xl19"/>
        <w:tabs>
          <w:tab w:val="left" w:pos="7560"/>
          <w:tab w:val="right" w:pos="8730"/>
        </w:tabs>
        <w:spacing w:before="0" w:after="0"/>
        <w:outlineLvl w:val="0"/>
        <w:rPr>
          <w:rFonts w:eastAsia="Times New Roman"/>
          <w:bCs/>
        </w:rPr>
      </w:pPr>
      <w:r>
        <w:rPr>
          <w:rFonts w:eastAsia="Times New Roman"/>
          <w:bCs/>
        </w:rPr>
        <w:tab/>
        <w:t>Page No.</w:t>
      </w:r>
    </w:p>
    <w:p w:rsidR="000C1533" w:rsidRDefault="000C1533" w:rsidP="000C1533">
      <w:pPr>
        <w:pStyle w:val="xl19"/>
        <w:tabs>
          <w:tab w:val="left" w:pos="7560"/>
          <w:tab w:val="right" w:pos="8730"/>
        </w:tabs>
        <w:spacing w:before="0" w:after="0"/>
        <w:outlineLvl w:val="0"/>
        <w:rPr>
          <w:rFonts w:eastAsia="Times New Roman"/>
          <w:bCs/>
        </w:rPr>
      </w:pPr>
    </w:p>
    <w:p w:rsidR="000C1533" w:rsidRDefault="000C1533" w:rsidP="000C1533">
      <w:pPr>
        <w:pStyle w:val="xl19"/>
        <w:tabs>
          <w:tab w:val="left" w:pos="7560"/>
          <w:tab w:val="right" w:pos="8730"/>
        </w:tabs>
        <w:spacing w:before="0" w:after="0"/>
        <w:outlineLvl w:val="0"/>
        <w:rPr>
          <w:rFonts w:eastAsia="Times New Roman"/>
          <w:bCs/>
        </w:rPr>
      </w:pPr>
      <w:r>
        <w:rPr>
          <w:rFonts w:eastAsia="Times New Roman"/>
          <w:b/>
          <w:bCs/>
        </w:rPr>
        <w:t xml:space="preserve">I.     Overview ……………………………………………………………………..   </w:t>
      </w:r>
      <w:r>
        <w:rPr>
          <w:rFonts w:eastAsia="Times New Roman"/>
          <w:bCs/>
        </w:rPr>
        <w:t>1</w:t>
      </w:r>
    </w:p>
    <w:p w:rsidR="000C1533" w:rsidRDefault="000C1533" w:rsidP="000C1533">
      <w:pPr>
        <w:pStyle w:val="xl19"/>
        <w:tabs>
          <w:tab w:val="right" w:pos="8730"/>
        </w:tabs>
        <w:spacing w:before="0" w:after="0"/>
        <w:outlineLvl w:val="0"/>
        <w:rPr>
          <w:rFonts w:eastAsia="Times New Roman"/>
          <w:bCs/>
        </w:rPr>
      </w:pPr>
    </w:p>
    <w:p w:rsidR="000C1533" w:rsidRDefault="000C1533" w:rsidP="000C1533">
      <w:pPr>
        <w:pStyle w:val="xl19"/>
        <w:tabs>
          <w:tab w:val="right" w:leader="dot" w:pos="8190"/>
          <w:tab w:val="right" w:leader="dot" w:pos="8730"/>
        </w:tabs>
        <w:spacing w:before="0" w:after="0"/>
        <w:outlineLvl w:val="0"/>
        <w:rPr>
          <w:bCs/>
        </w:rPr>
      </w:pPr>
      <w:r>
        <w:rPr>
          <w:b/>
          <w:bCs/>
        </w:rPr>
        <w:t>II.    Summary of Program Changes</w:t>
      </w:r>
      <w:r>
        <w:rPr>
          <w:bCs/>
        </w:rPr>
        <w:tab/>
        <w:t>NA</w:t>
      </w:r>
    </w:p>
    <w:p w:rsidR="000C1533" w:rsidRDefault="000C1533" w:rsidP="000C1533">
      <w:pPr>
        <w:pStyle w:val="xl19"/>
        <w:tabs>
          <w:tab w:val="right" w:leader="dot" w:pos="7920"/>
          <w:tab w:val="right" w:leader="dot" w:pos="8730"/>
        </w:tabs>
        <w:spacing w:before="0" w:after="0"/>
        <w:outlineLvl w:val="0"/>
        <w:rPr>
          <w:bCs/>
        </w:rPr>
      </w:pPr>
    </w:p>
    <w:p w:rsidR="000C1533" w:rsidRDefault="000C1533" w:rsidP="000C1533">
      <w:pPr>
        <w:pStyle w:val="xl19"/>
        <w:tabs>
          <w:tab w:val="left" w:leader="dot" w:pos="7920"/>
          <w:tab w:val="right" w:pos="8640"/>
        </w:tabs>
        <w:spacing w:before="0" w:after="0"/>
        <w:ind w:left="360" w:hanging="360"/>
      </w:pPr>
      <w:r>
        <w:rPr>
          <w:b/>
        </w:rPr>
        <w:t>III.  Appropriations Language and Analysis of Appropriations Language</w:t>
      </w:r>
      <w:r w:rsidR="00EE21B4">
        <w:tab/>
        <w:t xml:space="preserve">  3</w:t>
      </w:r>
    </w:p>
    <w:p w:rsidR="000C1533" w:rsidRDefault="000C1533" w:rsidP="000C1533">
      <w:pPr>
        <w:pStyle w:val="xl19"/>
        <w:tabs>
          <w:tab w:val="left" w:leader="dot" w:pos="7920"/>
          <w:tab w:val="right" w:pos="8640"/>
        </w:tabs>
        <w:spacing w:before="0" w:after="0"/>
        <w:ind w:left="360" w:hanging="360"/>
        <w:rPr>
          <w:rFonts w:eastAsia="Times New Roman" w:cs="Arial"/>
          <w:b/>
          <w:szCs w:val="24"/>
        </w:rPr>
      </w:pPr>
    </w:p>
    <w:p w:rsidR="000C1533" w:rsidRDefault="000C1533" w:rsidP="000C1533">
      <w:pPr>
        <w:pStyle w:val="xl27"/>
        <w:tabs>
          <w:tab w:val="left" w:leader="dot" w:pos="7920"/>
          <w:tab w:val="right" w:pos="8640"/>
        </w:tabs>
        <w:spacing w:before="0" w:after="0"/>
        <w:rPr>
          <w:rFonts w:ascii="Times New Roman" w:eastAsia="Times New Roman" w:hAnsi="Times New Roman" w:cs="Arial"/>
          <w:szCs w:val="24"/>
        </w:rPr>
      </w:pPr>
      <w:r>
        <w:rPr>
          <w:rFonts w:ascii="Times New Roman" w:eastAsia="Times New Roman" w:hAnsi="Times New Roman" w:cs="Arial"/>
          <w:szCs w:val="24"/>
        </w:rPr>
        <w:t xml:space="preserve">IV.   </w:t>
      </w:r>
      <w:r w:rsidR="008D3455" w:rsidRPr="008D3455">
        <w:rPr>
          <w:rFonts w:ascii="Times New Roman" w:eastAsia="Times New Roman" w:hAnsi="Times New Roman" w:cs="Arial"/>
          <w:bCs/>
          <w:szCs w:val="24"/>
        </w:rPr>
        <w:t>Program Activity Justification</w:t>
      </w:r>
    </w:p>
    <w:p w:rsidR="000C1533" w:rsidRDefault="000C1533" w:rsidP="000C1533">
      <w:pPr>
        <w:tabs>
          <w:tab w:val="left" w:leader="dot" w:pos="7920"/>
          <w:tab w:val="right" w:pos="8640"/>
        </w:tabs>
        <w:rPr>
          <w:bCs/>
        </w:rPr>
      </w:pPr>
      <w:r>
        <w:rPr>
          <w:bCs/>
        </w:rPr>
        <w:t xml:space="preserve">     </w:t>
      </w:r>
    </w:p>
    <w:p w:rsidR="000C1533" w:rsidRDefault="000C1533" w:rsidP="000C1533">
      <w:pPr>
        <w:pStyle w:val="ListParagraph"/>
        <w:numPr>
          <w:ilvl w:val="0"/>
          <w:numId w:val="31"/>
        </w:numPr>
        <w:tabs>
          <w:tab w:val="left" w:leader="dot" w:pos="7920"/>
          <w:tab w:val="right" w:pos="8640"/>
        </w:tabs>
        <w:rPr>
          <w:bCs/>
        </w:rPr>
      </w:pPr>
      <w:r>
        <w:rPr>
          <w:bCs/>
        </w:rPr>
        <w:t>Foreign Claims</w:t>
      </w:r>
    </w:p>
    <w:p w:rsidR="000C1533" w:rsidRDefault="000C1533" w:rsidP="000C1533">
      <w:pPr>
        <w:tabs>
          <w:tab w:val="left" w:leader="dot" w:pos="7920"/>
          <w:tab w:val="right" w:pos="8640"/>
        </w:tabs>
        <w:ind w:left="286"/>
        <w:rPr>
          <w:bCs/>
        </w:rPr>
      </w:pPr>
      <w:r>
        <w:rPr>
          <w:bCs/>
        </w:rPr>
        <w:t xml:space="preserve">      1.  Program Descri</w:t>
      </w:r>
      <w:r w:rsidR="00EE21B4">
        <w:rPr>
          <w:bCs/>
        </w:rPr>
        <w:t>ption ……………………………………………………     4</w:t>
      </w:r>
    </w:p>
    <w:p w:rsidR="000C1533" w:rsidRDefault="000C1533" w:rsidP="000C1533">
      <w:pPr>
        <w:tabs>
          <w:tab w:val="left" w:leader="dot" w:pos="7920"/>
          <w:tab w:val="right" w:pos="8640"/>
        </w:tabs>
        <w:rPr>
          <w:bCs/>
        </w:rPr>
      </w:pPr>
      <w:r>
        <w:rPr>
          <w:bCs/>
        </w:rPr>
        <w:t xml:space="preserve">      </w:t>
      </w:r>
      <w:r w:rsidR="00EE21B4">
        <w:rPr>
          <w:bCs/>
        </w:rPr>
        <w:t xml:space="preserve">     2.  Performance </w:t>
      </w:r>
      <w:r w:rsidR="000A79ED">
        <w:rPr>
          <w:bCs/>
        </w:rPr>
        <w:t xml:space="preserve">and Resources </w:t>
      </w:r>
      <w:r w:rsidR="00EE21B4">
        <w:rPr>
          <w:bCs/>
        </w:rPr>
        <w:t>Tables</w:t>
      </w:r>
      <w:r w:rsidR="00EE21B4">
        <w:rPr>
          <w:bCs/>
        </w:rPr>
        <w:tab/>
        <w:t xml:space="preserve">   6</w:t>
      </w:r>
    </w:p>
    <w:p w:rsidR="000C1533" w:rsidRDefault="000C1533" w:rsidP="000C1533">
      <w:pPr>
        <w:tabs>
          <w:tab w:val="left" w:leader="dot" w:pos="7920"/>
          <w:tab w:val="right" w:pos="8640"/>
        </w:tabs>
      </w:pPr>
      <w:r>
        <w:rPr>
          <w:bCs/>
        </w:rPr>
        <w:t xml:space="preserve">           3.  </w:t>
      </w:r>
      <w:r>
        <w:t>Performance</w:t>
      </w:r>
      <w:r w:rsidR="004F641A">
        <w:t>, Resources, and Strategies</w:t>
      </w:r>
      <w:r w:rsidR="004F641A">
        <w:tab/>
        <w:t xml:space="preserve">   8</w:t>
      </w:r>
    </w:p>
    <w:p w:rsidR="000C1533" w:rsidRDefault="000C1533" w:rsidP="000C1533">
      <w:pPr>
        <w:tabs>
          <w:tab w:val="left" w:leader="dot" w:pos="7920"/>
          <w:tab w:val="right" w:pos="8640"/>
        </w:tabs>
        <w:rPr>
          <w:bCs/>
        </w:rPr>
      </w:pPr>
    </w:p>
    <w:p w:rsidR="000C1533" w:rsidRDefault="000C1533" w:rsidP="000C1533">
      <w:pPr>
        <w:pStyle w:val="xl27"/>
        <w:tabs>
          <w:tab w:val="left" w:leader="dot" w:pos="7920"/>
          <w:tab w:val="right" w:pos="8640"/>
        </w:tabs>
        <w:spacing w:before="0" w:after="0"/>
        <w:rPr>
          <w:rFonts w:ascii="Times New Roman" w:eastAsia="Times New Roman" w:hAnsi="Times New Roman" w:cs="Arial"/>
          <w:b w:val="0"/>
          <w:bCs/>
          <w:szCs w:val="24"/>
        </w:rPr>
      </w:pPr>
      <w:r>
        <w:rPr>
          <w:rFonts w:ascii="Times New Roman" w:eastAsia="Times New Roman" w:hAnsi="Times New Roman" w:cs="Arial"/>
          <w:szCs w:val="24"/>
        </w:rPr>
        <w:t>V.    Program Increases by Item</w:t>
      </w:r>
      <w:r>
        <w:rPr>
          <w:rFonts w:ascii="Times New Roman" w:eastAsia="Times New Roman" w:hAnsi="Times New Roman" w:cs="Arial"/>
          <w:b w:val="0"/>
          <w:szCs w:val="24"/>
        </w:rPr>
        <w:tab/>
        <w:t>NA</w:t>
      </w:r>
    </w:p>
    <w:p w:rsidR="000C1533" w:rsidRDefault="000C1533" w:rsidP="000C1533">
      <w:pPr>
        <w:tabs>
          <w:tab w:val="left" w:leader="dot" w:pos="7920"/>
          <w:tab w:val="right" w:pos="8640"/>
        </w:tabs>
        <w:rPr>
          <w:bCs/>
        </w:rPr>
      </w:pPr>
    </w:p>
    <w:p w:rsidR="000C1533" w:rsidRDefault="000C1533" w:rsidP="000C1533">
      <w:pPr>
        <w:tabs>
          <w:tab w:val="left" w:leader="dot" w:pos="7920"/>
          <w:tab w:val="right" w:pos="8640"/>
        </w:tabs>
        <w:rPr>
          <w:bCs/>
        </w:rPr>
      </w:pPr>
      <w:r>
        <w:rPr>
          <w:b/>
          <w:bCs/>
        </w:rPr>
        <w:t>VI.  Program Offsets by Item</w:t>
      </w:r>
      <w:r>
        <w:rPr>
          <w:bCs/>
        </w:rPr>
        <w:tab/>
        <w:t>NA</w:t>
      </w:r>
    </w:p>
    <w:p w:rsidR="000C1533" w:rsidRDefault="000C1533" w:rsidP="000C1533">
      <w:pPr>
        <w:tabs>
          <w:tab w:val="left" w:leader="dot" w:pos="7920"/>
          <w:tab w:val="right" w:pos="8640"/>
        </w:tabs>
        <w:rPr>
          <w:bCs/>
        </w:rPr>
      </w:pPr>
    </w:p>
    <w:p w:rsidR="000C1533" w:rsidRDefault="000C1533" w:rsidP="000C1533">
      <w:pPr>
        <w:pStyle w:val="xl27"/>
        <w:tabs>
          <w:tab w:val="left" w:leader="dot" w:pos="7920"/>
          <w:tab w:val="right" w:pos="8640"/>
        </w:tabs>
        <w:spacing w:before="0" w:after="0"/>
        <w:rPr>
          <w:rFonts w:ascii="Times New Roman" w:eastAsia="Times New Roman" w:hAnsi="Times New Roman"/>
          <w:b w:val="0"/>
          <w:bCs/>
          <w:szCs w:val="24"/>
        </w:rPr>
      </w:pPr>
      <w:r>
        <w:rPr>
          <w:rFonts w:ascii="Times New Roman" w:eastAsia="Times New Roman" w:hAnsi="Times New Roman"/>
          <w:bCs/>
          <w:szCs w:val="24"/>
        </w:rPr>
        <w:t>VII. Exhibits</w:t>
      </w:r>
      <w:r w:rsidR="00EE21B4">
        <w:rPr>
          <w:rFonts w:ascii="Times New Roman" w:eastAsia="Times New Roman" w:hAnsi="Times New Roman"/>
          <w:b w:val="0"/>
          <w:bCs/>
          <w:szCs w:val="24"/>
        </w:rPr>
        <w:tab/>
        <w:t xml:space="preserve">   9</w:t>
      </w:r>
    </w:p>
    <w:p w:rsidR="000C1533" w:rsidRDefault="000C1533" w:rsidP="000C1533">
      <w:pPr>
        <w:tabs>
          <w:tab w:val="left" w:leader="dot" w:pos="7920"/>
          <w:tab w:val="right" w:pos="8640"/>
        </w:tabs>
        <w:outlineLvl w:val="0"/>
        <w:rPr>
          <w:b/>
          <w:bCs/>
        </w:rPr>
      </w:pPr>
    </w:p>
    <w:p w:rsidR="000C1533" w:rsidRPr="00412539" w:rsidRDefault="000C1533" w:rsidP="000C1533">
      <w:pPr>
        <w:numPr>
          <w:ilvl w:val="0"/>
          <w:numId w:val="32"/>
        </w:numPr>
        <w:tabs>
          <w:tab w:val="left" w:leader="dot" w:pos="7920"/>
          <w:tab w:val="right" w:pos="8640"/>
        </w:tabs>
        <w:outlineLvl w:val="0"/>
        <w:rPr>
          <w:bCs/>
        </w:rPr>
      </w:pPr>
      <w:r>
        <w:t>Organizational Chart….……………………………………………………</w:t>
      </w:r>
      <w:r w:rsidR="00DE74B7">
        <w:t xml:space="preserve"> </w:t>
      </w:r>
    </w:p>
    <w:p w:rsidR="000C1533" w:rsidRDefault="000C1533" w:rsidP="00412539">
      <w:pPr>
        <w:numPr>
          <w:ilvl w:val="0"/>
          <w:numId w:val="32"/>
        </w:numPr>
        <w:tabs>
          <w:tab w:val="left" w:leader="dot" w:pos="7920"/>
          <w:tab w:val="right" w:pos="8640"/>
        </w:tabs>
        <w:outlineLvl w:val="0"/>
        <w:rPr>
          <w:bCs/>
        </w:rPr>
      </w:pPr>
      <w:r w:rsidRPr="00412539">
        <w:rPr>
          <w:bCs/>
        </w:rPr>
        <w:t>Summary of Requirements</w:t>
      </w:r>
      <w:r w:rsidRPr="00412539">
        <w:rPr>
          <w:bCs/>
        </w:rPr>
        <w:tab/>
      </w:r>
    </w:p>
    <w:p w:rsidR="000C1533" w:rsidRPr="00412539" w:rsidRDefault="008D3455" w:rsidP="00412539">
      <w:pPr>
        <w:numPr>
          <w:ilvl w:val="0"/>
          <w:numId w:val="32"/>
        </w:numPr>
        <w:tabs>
          <w:tab w:val="left" w:leader="dot" w:pos="7920"/>
          <w:tab w:val="right" w:pos="8640"/>
        </w:tabs>
        <w:outlineLvl w:val="0"/>
        <w:rPr>
          <w:bCs/>
        </w:rPr>
      </w:pPr>
      <w:r w:rsidRPr="00412539">
        <w:rPr>
          <w:bCs/>
        </w:rPr>
        <w:t>FY 2014 Program Increases/Offsets by Decision Unit</w:t>
      </w:r>
      <w:r w:rsidR="000C1533" w:rsidRPr="00412539">
        <w:rPr>
          <w:bCs/>
        </w:rPr>
        <w:tab/>
        <w:t>NA</w:t>
      </w:r>
    </w:p>
    <w:p w:rsidR="008D3455" w:rsidRDefault="008D3455" w:rsidP="008D3455">
      <w:pPr>
        <w:numPr>
          <w:ilvl w:val="0"/>
          <w:numId w:val="6"/>
        </w:numPr>
        <w:tabs>
          <w:tab w:val="left" w:leader="dot" w:pos="7920"/>
          <w:tab w:val="right" w:pos="8640"/>
        </w:tabs>
        <w:rPr>
          <w:bCs/>
        </w:rPr>
      </w:pPr>
      <w:r w:rsidRPr="004B775C">
        <w:rPr>
          <w:bCs/>
        </w:rPr>
        <w:t>Resources by DOJ Strategic Goal</w:t>
      </w:r>
      <w:r>
        <w:rPr>
          <w:bCs/>
        </w:rPr>
        <w:t xml:space="preserve"> and Strategic </w:t>
      </w:r>
      <w:r w:rsidR="00412539">
        <w:rPr>
          <w:bCs/>
        </w:rPr>
        <w:t>Objective………………..</w:t>
      </w:r>
    </w:p>
    <w:p w:rsidR="000C1533" w:rsidRDefault="000C1533" w:rsidP="00412539">
      <w:pPr>
        <w:numPr>
          <w:ilvl w:val="0"/>
          <w:numId w:val="6"/>
        </w:numPr>
        <w:tabs>
          <w:tab w:val="left" w:leader="dot" w:pos="7920"/>
          <w:tab w:val="right" w:pos="8640"/>
        </w:tabs>
        <w:rPr>
          <w:bCs/>
        </w:rPr>
      </w:pPr>
      <w:r w:rsidRPr="00412539">
        <w:rPr>
          <w:bCs/>
        </w:rPr>
        <w:t>Justification for Base Adjustments</w:t>
      </w:r>
      <w:r w:rsidRPr="00412539">
        <w:rPr>
          <w:bCs/>
        </w:rPr>
        <w:tab/>
      </w:r>
    </w:p>
    <w:p w:rsidR="000C1533" w:rsidRDefault="00BD5510" w:rsidP="00412539">
      <w:pPr>
        <w:numPr>
          <w:ilvl w:val="0"/>
          <w:numId w:val="6"/>
        </w:numPr>
        <w:tabs>
          <w:tab w:val="left" w:leader="dot" w:pos="7920"/>
          <w:tab w:val="right" w:pos="8640"/>
        </w:tabs>
        <w:rPr>
          <w:bCs/>
        </w:rPr>
      </w:pPr>
      <w:r w:rsidRPr="00412539">
        <w:rPr>
          <w:bCs/>
        </w:rPr>
        <w:t>Crosswalk of 2012</w:t>
      </w:r>
      <w:r w:rsidR="000C1533" w:rsidRPr="00412539">
        <w:rPr>
          <w:bCs/>
        </w:rPr>
        <w:t xml:space="preserve"> Availability</w:t>
      </w:r>
      <w:r w:rsidR="000C1533" w:rsidRPr="00412539">
        <w:rPr>
          <w:bCs/>
        </w:rPr>
        <w:tab/>
      </w:r>
    </w:p>
    <w:p w:rsidR="000C1533" w:rsidRDefault="00BD5510" w:rsidP="00412539">
      <w:pPr>
        <w:numPr>
          <w:ilvl w:val="0"/>
          <w:numId w:val="6"/>
        </w:numPr>
        <w:tabs>
          <w:tab w:val="left" w:leader="dot" w:pos="7920"/>
          <w:tab w:val="right" w:pos="8640"/>
        </w:tabs>
        <w:rPr>
          <w:bCs/>
        </w:rPr>
      </w:pPr>
      <w:r w:rsidRPr="00412539">
        <w:rPr>
          <w:bCs/>
        </w:rPr>
        <w:t>Crosswalk of 2013</w:t>
      </w:r>
      <w:r w:rsidR="000C1533" w:rsidRPr="00412539">
        <w:rPr>
          <w:bCs/>
        </w:rPr>
        <w:t xml:space="preserve"> Availability </w:t>
      </w:r>
      <w:r w:rsidR="000C1533" w:rsidRPr="00412539">
        <w:rPr>
          <w:bCs/>
        </w:rPr>
        <w:tab/>
      </w:r>
    </w:p>
    <w:p w:rsidR="000C1533" w:rsidRDefault="000C1533" w:rsidP="00412539">
      <w:pPr>
        <w:numPr>
          <w:ilvl w:val="0"/>
          <w:numId w:val="6"/>
        </w:numPr>
        <w:tabs>
          <w:tab w:val="left" w:leader="dot" w:pos="7920"/>
          <w:tab w:val="right" w:pos="8640"/>
        </w:tabs>
        <w:rPr>
          <w:bCs/>
        </w:rPr>
      </w:pPr>
      <w:r w:rsidRPr="00412539">
        <w:rPr>
          <w:bCs/>
        </w:rPr>
        <w:t xml:space="preserve">Summary of Reimbursable Resources </w:t>
      </w:r>
      <w:r w:rsidRPr="00412539">
        <w:rPr>
          <w:bCs/>
        </w:rPr>
        <w:tab/>
        <w:t>NA</w:t>
      </w:r>
    </w:p>
    <w:p w:rsidR="000C1533" w:rsidRDefault="000C1533" w:rsidP="00412539">
      <w:pPr>
        <w:numPr>
          <w:ilvl w:val="0"/>
          <w:numId w:val="6"/>
        </w:numPr>
        <w:tabs>
          <w:tab w:val="left" w:leader="dot" w:pos="7920"/>
          <w:tab w:val="right" w:pos="8640"/>
        </w:tabs>
        <w:rPr>
          <w:bCs/>
        </w:rPr>
      </w:pPr>
      <w:r w:rsidRPr="00412539">
        <w:rPr>
          <w:bCs/>
        </w:rPr>
        <w:t>Detail of Permanent Positions by Category</w:t>
      </w:r>
      <w:r w:rsidRPr="00412539">
        <w:rPr>
          <w:bCs/>
        </w:rPr>
        <w:tab/>
      </w:r>
    </w:p>
    <w:p w:rsidR="000C1533" w:rsidRDefault="000C1533" w:rsidP="00412539">
      <w:pPr>
        <w:numPr>
          <w:ilvl w:val="0"/>
          <w:numId w:val="6"/>
        </w:numPr>
        <w:tabs>
          <w:tab w:val="left" w:leader="dot" w:pos="7920"/>
          <w:tab w:val="right" w:pos="8640"/>
        </w:tabs>
        <w:rPr>
          <w:bCs/>
        </w:rPr>
      </w:pPr>
      <w:r w:rsidRPr="00412539">
        <w:rPr>
          <w:bCs/>
        </w:rPr>
        <w:t xml:space="preserve">Financial Analysis of Program </w:t>
      </w:r>
      <w:r w:rsidR="008D3455" w:rsidRPr="00412539">
        <w:rPr>
          <w:bCs/>
        </w:rPr>
        <w:t>Changes</w:t>
      </w:r>
      <w:r w:rsidRPr="00412539">
        <w:rPr>
          <w:bCs/>
        </w:rPr>
        <w:tab/>
        <w:t>NA</w:t>
      </w:r>
    </w:p>
    <w:p w:rsidR="000C1533" w:rsidRDefault="000C1533" w:rsidP="00412539">
      <w:pPr>
        <w:numPr>
          <w:ilvl w:val="0"/>
          <w:numId w:val="6"/>
        </w:numPr>
        <w:tabs>
          <w:tab w:val="left" w:leader="dot" w:pos="7920"/>
          <w:tab w:val="right" w:pos="8640"/>
        </w:tabs>
        <w:rPr>
          <w:bCs/>
        </w:rPr>
      </w:pPr>
      <w:r w:rsidRPr="00412539">
        <w:rPr>
          <w:bCs/>
        </w:rPr>
        <w:t>Summary of Requirements by Grade</w:t>
      </w:r>
      <w:r w:rsidRPr="00412539">
        <w:rPr>
          <w:bCs/>
        </w:rPr>
        <w:tab/>
      </w:r>
    </w:p>
    <w:p w:rsidR="000C1533" w:rsidRPr="00412539" w:rsidRDefault="000C1533" w:rsidP="00412539">
      <w:pPr>
        <w:numPr>
          <w:ilvl w:val="0"/>
          <w:numId w:val="6"/>
        </w:numPr>
        <w:tabs>
          <w:tab w:val="left" w:leader="dot" w:pos="7920"/>
          <w:tab w:val="right" w:pos="8640"/>
        </w:tabs>
        <w:rPr>
          <w:bCs/>
        </w:rPr>
      </w:pPr>
      <w:r w:rsidRPr="00412539">
        <w:rPr>
          <w:bCs/>
        </w:rPr>
        <w:t>Summary of Requirements by Object Class</w:t>
      </w:r>
      <w:r w:rsidRPr="00412539">
        <w:rPr>
          <w:bCs/>
        </w:rPr>
        <w:tab/>
      </w:r>
    </w:p>
    <w:p w:rsidR="000C1533" w:rsidRDefault="000C1533" w:rsidP="000C1533">
      <w:pPr>
        <w:tabs>
          <w:tab w:val="left" w:leader="dot" w:pos="7920"/>
          <w:tab w:val="right" w:pos="8640"/>
        </w:tabs>
        <w:ind w:left="360"/>
        <w:rPr>
          <w:bCs/>
        </w:rPr>
      </w:pPr>
    </w:p>
    <w:p w:rsidR="000C1533" w:rsidRDefault="000C1533" w:rsidP="000C1533">
      <w:pPr>
        <w:rPr>
          <w:rFonts w:cs="Arial"/>
          <w:b/>
          <w:bCs/>
          <w:sz w:val="28"/>
          <w:szCs w:val="28"/>
        </w:rPr>
      </w:pPr>
      <w:r>
        <w:rPr>
          <w:rFonts w:cs="Arial"/>
          <w:b/>
          <w:bCs/>
          <w:sz w:val="28"/>
          <w:szCs w:val="28"/>
        </w:rPr>
        <w:br w:type="page"/>
      </w:r>
    </w:p>
    <w:p w:rsidR="000C1533" w:rsidRDefault="000C1533" w:rsidP="000C1533">
      <w:pPr>
        <w:rPr>
          <w:rFonts w:cs="Arial"/>
          <w:b/>
          <w:bCs/>
          <w:sz w:val="28"/>
          <w:szCs w:val="28"/>
        </w:rPr>
        <w:sectPr w:rsidR="000C1533">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432" w:footer="432" w:gutter="0"/>
          <w:pgNumType w:start="1"/>
          <w:cols w:space="720"/>
        </w:sectPr>
      </w:pPr>
    </w:p>
    <w:p w:rsidR="0011146A" w:rsidRPr="0011146A" w:rsidRDefault="0011146A" w:rsidP="0011146A">
      <w:pPr>
        <w:pStyle w:val="BodyText"/>
        <w:rPr>
          <w:b/>
          <w:bCs/>
          <w:sz w:val="28"/>
          <w:szCs w:val="28"/>
        </w:rPr>
      </w:pPr>
      <w:r w:rsidRPr="0011146A">
        <w:rPr>
          <w:b/>
          <w:bCs/>
          <w:sz w:val="28"/>
          <w:szCs w:val="28"/>
        </w:rPr>
        <w:lastRenderedPageBreak/>
        <w:t xml:space="preserve">I.  Overview </w:t>
      </w:r>
      <w:r w:rsidR="00132B0E">
        <w:rPr>
          <w:b/>
          <w:bCs/>
          <w:sz w:val="28"/>
          <w:szCs w:val="28"/>
        </w:rPr>
        <w:t>of</w:t>
      </w:r>
      <w:r w:rsidR="00132B0E" w:rsidRPr="0011146A">
        <w:rPr>
          <w:b/>
          <w:bCs/>
          <w:sz w:val="28"/>
          <w:szCs w:val="28"/>
        </w:rPr>
        <w:t xml:space="preserve"> </w:t>
      </w:r>
      <w:r w:rsidR="003A5390">
        <w:rPr>
          <w:b/>
          <w:bCs/>
          <w:sz w:val="28"/>
          <w:szCs w:val="28"/>
        </w:rPr>
        <w:t>the Foreign Claims Settlement Commission</w:t>
      </w:r>
    </w:p>
    <w:p w:rsidR="0011146A" w:rsidRPr="00DC4C9F" w:rsidRDefault="0011146A" w:rsidP="0011146A">
      <w:pPr>
        <w:pStyle w:val="BodyText"/>
      </w:pPr>
      <w:r w:rsidRPr="00DC4C9F">
        <w:t xml:space="preserve">   </w:t>
      </w:r>
    </w:p>
    <w:p w:rsidR="004603C0" w:rsidRPr="00882581" w:rsidRDefault="00756388" w:rsidP="004603C0">
      <w:pPr>
        <w:pStyle w:val="BodyText"/>
        <w:rPr>
          <w:b/>
        </w:rPr>
      </w:pPr>
      <w:r>
        <w:rPr>
          <w:b/>
        </w:rPr>
        <w:t>1.  Introduction</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Pr="007A542B"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u w:val="single"/>
        </w:rPr>
      </w:pPr>
      <w:r w:rsidRPr="00A471D1">
        <w:rPr>
          <w:rFonts w:ascii="Times New Roman" w:hAnsi="Times New Roman"/>
          <w:color w:val="000000"/>
          <w:sz w:val="24"/>
          <w:szCs w:val="21"/>
        </w:rPr>
        <w:t xml:space="preserve">The </w:t>
      </w:r>
      <w:r>
        <w:rPr>
          <w:rFonts w:ascii="Times New Roman" w:hAnsi="Times New Roman"/>
          <w:color w:val="000000"/>
          <w:sz w:val="24"/>
          <w:szCs w:val="21"/>
        </w:rPr>
        <w:t xml:space="preserve">Foreign Claims Settlement Commission (FCSC) </w:t>
      </w:r>
      <w:r w:rsidRPr="00A471D1">
        <w:rPr>
          <w:rFonts w:ascii="Times New Roman" w:hAnsi="Times New Roman"/>
          <w:color w:val="000000"/>
          <w:sz w:val="24"/>
          <w:szCs w:val="21"/>
        </w:rPr>
        <w:t>is a small, independent</w:t>
      </w:r>
      <w:r>
        <w:rPr>
          <w:rFonts w:ascii="Times New Roman" w:hAnsi="Times New Roman"/>
          <w:color w:val="000000"/>
          <w:sz w:val="24"/>
          <w:szCs w:val="21"/>
        </w:rPr>
        <w:t>,</w:t>
      </w:r>
      <w:r w:rsidRPr="00A471D1">
        <w:rPr>
          <w:rFonts w:ascii="Times New Roman" w:hAnsi="Times New Roman"/>
          <w:color w:val="000000"/>
          <w:sz w:val="24"/>
          <w:szCs w:val="21"/>
        </w:rPr>
        <w:t xml:space="preserve"> quasi-judicial agency </w:t>
      </w:r>
      <w:r>
        <w:rPr>
          <w:rFonts w:ascii="Times New Roman" w:hAnsi="Times New Roman"/>
          <w:color w:val="000000"/>
          <w:sz w:val="24"/>
          <w:szCs w:val="21"/>
        </w:rPr>
        <w:t xml:space="preserve">organized </w:t>
      </w:r>
      <w:r w:rsidR="00CB2A2E" w:rsidRPr="00CB2A2E">
        <w:rPr>
          <w:rFonts w:ascii="Times New Roman" w:hAnsi="Times New Roman"/>
          <w:color w:val="000000"/>
          <w:sz w:val="24"/>
          <w:szCs w:val="21"/>
        </w:rPr>
        <w:t xml:space="preserve">for administrative purposes </w:t>
      </w:r>
      <w:r w:rsidRPr="00A471D1">
        <w:rPr>
          <w:rFonts w:ascii="Times New Roman" w:hAnsi="Times New Roman"/>
          <w:color w:val="000000"/>
          <w:sz w:val="24"/>
          <w:szCs w:val="21"/>
        </w:rPr>
        <w:t>within the Department of Justice that has a high profile and important mission</w:t>
      </w:r>
      <w:r>
        <w:rPr>
          <w:rFonts w:ascii="Times New Roman" w:hAnsi="Times New Roman"/>
          <w:color w:val="000000"/>
          <w:sz w:val="24"/>
          <w:szCs w:val="21"/>
        </w:rPr>
        <w:t xml:space="preserve"> in FY 2014: di</w:t>
      </w:r>
      <w:r w:rsidRPr="00A471D1">
        <w:rPr>
          <w:rFonts w:ascii="Times New Roman" w:hAnsi="Times New Roman"/>
          <w:color w:val="000000"/>
          <w:sz w:val="24"/>
          <w:szCs w:val="21"/>
        </w:rPr>
        <w:t xml:space="preserve">stribute to U.S. victims of international terrorism monies paid to the United States by foreign governments.  Currently, the FCSC is in the </w:t>
      </w:r>
      <w:r w:rsidR="009D3E43">
        <w:rPr>
          <w:rFonts w:ascii="Times New Roman" w:hAnsi="Times New Roman"/>
          <w:color w:val="000000"/>
          <w:sz w:val="24"/>
          <w:szCs w:val="21"/>
        </w:rPr>
        <w:t xml:space="preserve">latter stages </w:t>
      </w:r>
      <w:r w:rsidRPr="00A471D1">
        <w:rPr>
          <w:rFonts w:ascii="Times New Roman" w:hAnsi="Times New Roman"/>
          <w:color w:val="000000"/>
          <w:sz w:val="24"/>
          <w:szCs w:val="21"/>
        </w:rPr>
        <w:t xml:space="preserve">of a historically large program to award compensation to U.S. victims of Libyan terrorism in which the Congress has taken an unprecedented interest. </w:t>
      </w:r>
      <w:r w:rsidR="009D3E43">
        <w:rPr>
          <w:rFonts w:ascii="Times New Roman" w:hAnsi="Times New Roman"/>
          <w:color w:val="000000"/>
          <w:sz w:val="24"/>
          <w:szCs w:val="21"/>
        </w:rPr>
        <w:t xml:space="preserve"> </w:t>
      </w:r>
      <w:r>
        <w:rPr>
          <w:rFonts w:ascii="Times New Roman" w:hAnsi="Times New Roman"/>
          <w:color w:val="000000"/>
          <w:sz w:val="24"/>
          <w:szCs w:val="21"/>
        </w:rPr>
        <w:t xml:space="preserve">Additionally, </w:t>
      </w:r>
      <w:r w:rsidR="009D3E43">
        <w:rPr>
          <w:rFonts w:ascii="Times New Roman" w:hAnsi="Times New Roman"/>
          <w:color w:val="000000"/>
          <w:sz w:val="24"/>
          <w:szCs w:val="21"/>
        </w:rPr>
        <w:t>the Commission is preparing to conduct another claims</w:t>
      </w:r>
      <w:r w:rsidRPr="00A471D1">
        <w:rPr>
          <w:rFonts w:ascii="Times New Roman" w:hAnsi="Times New Roman"/>
          <w:color w:val="000000"/>
          <w:sz w:val="24"/>
          <w:szCs w:val="21"/>
        </w:rPr>
        <w:t xml:space="preserve"> program to distribute compensation to U.S. victims of Iraqi actions during the Saddam Hussein era (Iraq has already paid to the United States approximately $400 million to satisfy these claims).  </w:t>
      </w:r>
      <w:r>
        <w:rPr>
          <w:rFonts w:ascii="Times New Roman" w:hAnsi="Times New Roman"/>
          <w:color w:val="000000"/>
          <w:sz w:val="24"/>
          <w:szCs w:val="21"/>
        </w:rPr>
        <w:t xml:space="preserve">Depending on the movement of events internationally, other, similar programs can be anticipated.  </w:t>
      </w:r>
      <w:r w:rsidRPr="00A471D1">
        <w:rPr>
          <w:rFonts w:ascii="Times New Roman" w:hAnsi="Times New Roman"/>
          <w:color w:val="000000"/>
          <w:sz w:val="24"/>
          <w:szCs w:val="21"/>
        </w:rPr>
        <w:t xml:space="preserve">The work of adjudicating claims and awarding compensation is necessarily labor-intensive, requiring legal and factual research on the part of Commission staff, and adjudicatory work by the members of the Commission.  </w:t>
      </w:r>
      <w:r>
        <w:rPr>
          <w:rFonts w:ascii="Times New Roman" w:hAnsi="Times New Roman"/>
          <w:color w:val="000000"/>
          <w:sz w:val="24"/>
          <w:szCs w:val="21"/>
        </w:rPr>
        <w:t xml:space="preserve">The vast majority of its budget </w:t>
      </w:r>
      <w:r w:rsidRPr="00A471D1">
        <w:rPr>
          <w:rFonts w:ascii="Times New Roman" w:hAnsi="Times New Roman"/>
          <w:color w:val="000000"/>
          <w:sz w:val="24"/>
          <w:szCs w:val="21"/>
        </w:rPr>
        <w:t xml:space="preserve">is necessary for personnel costs (notwithstanding the fact that the FCSC’s budget request does not include a request for additional positions); the </w:t>
      </w:r>
      <w:r>
        <w:rPr>
          <w:rFonts w:ascii="Times New Roman" w:hAnsi="Times New Roman"/>
          <w:color w:val="000000"/>
          <w:sz w:val="24"/>
          <w:szCs w:val="21"/>
        </w:rPr>
        <w:t xml:space="preserve">bulk of the remainder </w:t>
      </w:r>
      <w:r w:rsidRPr="00A471D1">
        <w:rPr>
          <w:rFonts w:ascii="Times New Roman" w:hAnsi="Times New Roman"/>
          <w:color w:val="000000"/>
          <w:sz w:val="24"/>
          <w:szCs w:val="21"/>
        </w:rPr>
        <w:t xml:space="preserve">is for fixed costs including rent and guard service.  </w:t>
      </w:r>
      <w:r>
        <w:rPr>
          <w:rFonts w:ascii="Times New Roman" w:hAnsi="Times New Roman"/>
          <w:color w:val="000000"/>
          <w:sz w:val="24"/>
          <w:szCs w:val="21"/>
        </w:rPr>
        <w:t>Electronic copies of the Department of Justice’s Congressional Budget Justifications and Capital Asset Plan and Business Case exhibits can be viewed or downloaded from the Inter</w:t>
      </w:r>
      <w:r w:rsidR="00CB09BC">
        <w:rPr>
          <w:rFonts w:ascii="Times New Roman" w:hAnsi="Times New Roman"/>
          <w:color w:val="000000"/>
          <w:sz w:val="24"/>
          <w:szCs w:val="21"/>
        </w:rPr>
        <w:t xml:space="preserve">net using this Internet address:  </w:t>
      </w:r>
      <w:r w:rsidR="00CB09BC" w:rsidRPr="007A542B">
        <w:rPr>
          <w:rFonts w:ascii="Times New Roman" w:hAnsi="Times New Roman"/>
          <w:color w:val="000000"/>
          <w:sz w:val="24"/>
          <w:szCs w:val="21"/>
          <w:u w:val="single"/>
        </w:rPr>
        <w:t>http://www.justice.gov/02organizations/bpp.htm.</w:t>
      </w:r>
      <w:r w:rsidRPr="007A542B">
        <w:rPr>
          <w:rFonts w:ascii="Times New Roman" w:hAnsi="Times New Roman"/>
          <w:color w:val="000000"/>
          <w:sz w:val="24"/>
          <w:szCs w:val="21"/>
          <w:u w:val="single"/>
        </w:rPr>
        <w:t xml:space="preserve">  </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Pr="00A471D1"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 xml:space="preserve">The operating expenses of the Commission ultimately are borne only partially, if at all, by the taxpayer.  In virtually all instances, the legislation authorizing the adjudication of claims has provided for deduction of 5% of the funds obtained from foreign governments for payment of the Commission's awards.  This amount is deposited to the credit of miscellaneous receipts in the United States Treasury to defray administrative expenses.  The Commission understands that approximately $20 million has been so deposited into the Treasury from the funds obtained under the Libya Claims Program alone. </w:t>
      </w:r>
      <w:r w:rsidRPr="00A471D1">
        <w:rPr>
          <w:rFonts w:ascii="Times New Roman" w:hAnsi="Times New Roman"/>
          <w:color w:val="000000"/>
          <w:sz w:val="24"/>
          <w:szCs w:val="21"/>
        </w:rPr>
        <w:t xml:space="preserve">  </w:t>
      </w:r>
    </w:p>
    <w:p w:rsidR="004603C0" w:rsidRPr="00A471D1"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sidRPr="00A471D1">
        <w:rPr>
          <w:rFonts w:ascii="Times New Roman" w:hAnsi="Times New Roman"/>
          <w:color w:val="000000"/>
          <w:sz w:val="24"/>
          <w:szCs w:val="21"/>
        </w:rPr>
        <w:t xml:space="preserve">The Commission is prepared to provide any further information about the background of the Commission, its existing programs, Congressional interest in </w:t>
      </w:r>
      <w:r>
        <w:rPr>
          <w:rFonts w:ascii="Times New Roman" w:hAnsi="Times New Roman"/>
          <w:color w:val="000000"/>
          <w:sz w:val="24"/>
          <w:szCs w:val="21"/>
        </w:rPr>
        <w:t xml:space="preserve">these programs, and the basis </w:t>
      </w:r>
      <w:r w:rsidRPr="00A471D1">
        <w:rPr>
          <w:rFonts w:ascii="Times New Roman" w:hAnsi="Times New Roman"/>
          <w:color w:val="000000"/>
          <w:sz w:val="24"/>
          <w:szCs w:val="21"/>
        </w:rPr>
        <w:t>to support this</w:t>
      </w:r>
      <w:r>
        <w:rPr>
          <w:rFonts w:ascii="Times New Roman" w:hAnsi="Times New Roman"/>
          <w:color w:val="000000"/>
          <w:sz w:val="24"/>
          <w:szCs w:val="21"/>
        </w:rPr>
        <w:t xml:space="preserve"> budget</w:t>
      </w:r>
      <w:r w:rsidRPr="00A471D1">
        <w:rPr>
          <w:rFonts w:ascii="Times New Roman" w:hAnsi="Times New Roman"/>
          <w:color w:val="000000"/>
          <w:sz w:val="24"/>
          <w:szCs w:val="21"/>
        </w:rPr>
        <w:t xml:space="preserve"> </w:t>
      </w:r>
      <w:r>
        <w:rPr>
          <w:rFonts w:ascii="Times New Roman" w:hAnsi="Times New Roman"/>
          <w:color w:val="000000"/>
          <w:sz w:val="24"/>
          <w:szCs w:val="21"/>
        </w:rPr>
        <w:t>request</w:t>
      </w:r>
      <w:r w:rsidRPr="00A471D1">
        <w:rPr>
          <w:rFonts w:ascii="Times New Roman" w:hAnsi="Times New Roman"/>
          <w:color w:val="000000"/>
          <w:sz w:val="24"/>
          <w:szCs w:val="21"/>
        </w:rPr>
        <w:t xml:space="preserve">.  </w:t>
      </w:r>
      <w:r>
        <w:rPr>
          <w:rFonts w:ascii="Times New Roman" w:hAnsi="Times New Roman"/>
          <w:color w:val="000000"/>
          <w:sz w:val="24"/>
          <w:szCs w:val="21"/>
        </w:rPr>
        <w:t xml:space="preserve"> </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 xml:space="preserve">To date, the Commission has administered and completed 45 international and war-related claims programs involving claims against 18 countries:  Yugoslavia, Panama, Bulgaria, Hungary, Romania, Italy, the former Soviet Union, the former Czechoslovakia, Poland, Cuba, China, the former German Democratic Republic, Vietnam, Ethiopia, Egypt, Iran, Albania, and the Federal Republic of Germany.  </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The Commission consists of a Chairman and two part</w:t>
      </w:r>
      <w:r>
        <w:rPr>
          <w:rFonts w:ascii="Times New Roman" w:hAnsi="Times New Roman"/>
          <w:color w:val="000000"/>
          <w:sz w:val="24"/>
          <w:szCs w:val="21"/>
        </w:rPr>
        <w:noBreakHyphen/>
        <w:t>time Commissioners, who are appointed by the Presiden</w:t>
      </w:r>
      <w:r w:rsidR="0060736C">
        <w:rPr>
          <w:rFonts w:ascii="Times New Roman" w:hAnsi="Times New Roman"/>
          <w:color w:val="000000"/>
          <w:sz w:val="24"/>
          <w:szCs w:val="21"/>
        </w:rPr>
        <w:t>t and confirmed by</w:t>
      </w:r>
      <w:r>
        <w:rPr>
          <w:rFonts w:ascii="Times New Roman" w:hAnsi="Times New Roman"/>
          <w:color w:val="000000"/>
          <w:sz w:val="24"/>
          <w:szCs w:val="21"/>
        </w:rPr>
        <w:t xml:space="preserve"> the Senate, as well as legal and non-legal secretariat staff.  The Chairman and the part</w:t>
      </w:r>
      <w:r>
        <w:rPr>
          <w:rFonts w:ascii="Times New Roman" w:hAnsi="Times New Roman"/>
          <w:color w:val="000000"/>
          <w:sz w:val="24"/>
          <w:szCs w:val="21"/>
        </w:rPr>
        <w:noBreakHyphen/>
        <w:t>time Commissioners receive compensation at the Executive Level V rate of pay for performance of official business of the Commission.</w:t>
      </w:r>
    </w:p>
    <w:p w:rsidR="00F26F9A" w:rsidRDefault="00F26F9A"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F26F9A" w:rsidRDefault="00F26F9A"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F26F9A" w:rsidRDefault="00F26F9A"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xl27"/>
        <w:spacing w:before="0" w:after="0"/>
        <w:rPr>
          <w:rFonts w:ascii="Times New Roman" w:hAnsi="Times New Roman"/>
          <w:color w:val="000000"/>
        </w:rPr>
      </w:pPr>
      <w:r>
        <w:rPr>
          <w:rFonts w:ascii="Times New Roman" w:hAnsi="Times New Roman"/>
          <w:color w:val="000000"/>
        </w:rPr>
        <w:t>2.  Issues, Outcomes, and Strategies</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 xml:space="preserve">In FY 2014, the Commission plans to conclude its administration of the Libya Claims Program.  This program resulted from the President’s Executive Order 13477 dated October 31, 2008, implementing the U.S.-Libya Claims Settlement Agreement of August 14, 2008, as well as the Libyan Claims Resolution Act (LCRA), passed by Congress and signed into law on August 4, 2008.  Pursuant to this Agreement and the LCRA, the government of </w:t>
      </w:r>
      <w:smartTag w:uri="urn:schemas-microsoft-com:office:smarttags" w:element="country-region">
        <w:r>
          <w:rPr>
            <w:rFonts w:ascii="Times New Roman" w:hAnsi="Times New Roman"/>
            <w:color w:val="000000"/>
            <w:sz w:val="24"/>
            <w:szCs w:val="21"/>
          </w:rPr>
          <w:t>Libya</w:t>
        </w:r>
      </w:smartTag>
      <w:r>
        <w:rPr>
          <w:rFonts w:ascii="Times New Roman" w:hAnsi="Times New Roman"/>
          <w:color w:val="000000"/>
          <w:sz w:val="24"/>
          <w:szCs w:val="21"/>
        </w:rPr>
        <w:t xml:space="preserve"> paid $1.5 billion to the </w:t>
      </w:r>
      <w:smartTag w:uri="urn:schemas-microsoft-com:office:smarttags" w:element="country-region">
        <w:r>
          <w:rPr>
            <w:rFonts w:ascii="Times New Roman" w:hAnsi="Times New Roman"/>
            <w:color w:val="000000"/>
            <w:sz w:val="24"/>
            <w:szCs w:val="21"/>
          </w:rPr>
          <w:t>United States</w:t>
        </w:r>
      </w:smartTag>
      <w:r>
        <w:rPr>
          <w:rFonts w:ascii="Times New Roman" w:hAnsi="Times New Roman"/>
          <w:color w:val="000000"/>
          <w:sz w:val="24"/>
          <w:szCs w:val="21"/>
        </w:rPr>
        <w:t xml:space="preserve"> in order to provide immediate and fair compensation to </w:t>
      </w:r>
      <w:smartTag w:uri="urn:schemas-microsoft-com:office:smarttags" w:element="country-region">
        <w:r>
          <w:rPr>
            <w:rFonts w:ascii="Times New Roman" w:hAnsi="Times New Roman"/>
            <w:color w:val="000000"/>
            <w:sz w:val="24"/>
            <w:szCs w:val="21"/>
          </w:rPr>
          <w:t>U.S.</w:t>
        </w:r>
      </w:smartTag>
      <w:r>
        <w:rPr>
          <w:rFonts w:ascii="Times New Roman" w:hAnsi="Times New Roman"/>
          <w:color w:val="000000"/>
          <w:sz w:val="24"/>
          <w:szCs w:val="21"/>
        </w:rPr>
        <w:t xml:space="preserve"> nationals with terrorism-related claims against </w:t>
      </w:r>
      <w:smartTag w:uri="urn:schemas-microsoft-com:office:smarttags" w:element="country-region">
        <w:smartTag w:uri="urn:schemas-microsoft-com:office:smarttags" w:element="place">
          <w:r>
            <w:rPr>
              <w:rFonts w:ascii="Times New Roman" w:hAnsi="Times New Roman"/>
              <w:color w:val="000000"/>
              <w:sz w:val="24"/>
              <w:szCs w:val="21"/>
            </w:rPr>
            <w:t>Libya</w:t>
          </w:r>
        </w:smartTag>
      </w:smartTag>
      <w:r>
        <w:rPr>
          <w:rFonts w:ascii="Times New Roman" w:hAnsi="Times New Roman"/>
          <w:color w:val="000000"/>
          <w:sz w:val="24"/>
          <w:szCs w:val="21"/>
        </w:rPr>
        <w:t xml:space="preserve">.  This program was referred to the Commission by the Department of State Legal Adviser’s referral letters of December 11, 2008 and January 15, 2009 pursuant to 22 U.S.C. </w:t>
      </w:r>
      <w:r w:rsidR="00132B0E">
        <w:rPr>
          <w:rFonts w:ascii="Times New Roman" w:hAnsi="Times New Roman"/>
          <w:color w:val="000000"/>
          <w:sz w:val="24"/>
          <w:szCs w:val="21"/>
        </w:rPr>
        <w:t xml:space="preserve">§ </w:t>
      </w:r>
      <w:r>
        <w:rPr>
          <w:rFonts w:ascii="Times New Roman" w:hAnsi="Times New Roman"/>
          <w:color w:val="000000"/>
          <w:sz w:val="24"/>
          <w:szCs w:val="21"/>
        </w:rPr>
        <w:t>1623 (a)(1)(</w:t>
      </w:r>
      <w:r w:rsidR="001E2787">
        <w:rPr>
          <w:rFonts w:ascii="Times New Roman" w:hAnsi="Times New Roman"/>
          <w:color w:val="000000"/>
          <w:sz w:val="24"/>
          <w:szCs w:val="21"/>
        </w:rPr>
        <w:t>C</w:t>
      </w:r>
      <w:r>
        <w:rPr>
          <w:rFonts w:ascii="Times New Roman" w:hAnsi="Times New Roman"/>
          <w:color w:val="000000"/>
          <w:sz w:val="24"/>
          <w:szCs w:val="21"/>
        </w:rPr>
        <w:t xml:space="preserve">).  As of the date of the preparation of this document, the </w:t>
      </w:r>
      <w:r w:rsidR="008D3455">
        <w:rPr>
          <w:rFonts w:ascii="Times New Roman" w:hAnsi="Times New Roman"/>
          <w:color w:val="000000"/>
          <w:sz w:val="24"/>
          <w:szCs w:val="21"/>
        </w:rPr>
        <w:t xml:space="preserve">Commission anticipates that the </w:t>
      </w:r>
      <w:r>
        <w:rPr>
          <w:rFonts w:ascii="Times New Roman" w:hAnsi="Times New Roman"/>
          <w:color w:val="000000"/>
          <w:sz w:val="24"/>
          <w:szCs w:val="21"/>
        </w:rPr>
        <w:t>State Department may refer another category of claims to the Commission under this program.</w:t>
      </w:r>
    </w:p>
    <w:p w:rsidR="003D451F" w:rsidRDefault="003D451F"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3D451F" w:rsidRDefault="003D451F"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 xml:space="preserve">On June 21, 2011, the Department of State issued a press release announcing a settlement with the Government of Iraq in the amount of $400 million to provide compensation for American nationals who were prisoners of war, hostages, or human shields during the first Gulf War, and for U.S. servicemen who were injured in the 1987 attack on the USS Stark.  On November 14, 2012, pursuant to its authority under 22 U.S.C. </w:t>
      </w:r>
      <w:r w:rsidR="00132B0E" w:rsidRPr="00132B0E">
        <w:rPr>
          <w:rFonts w:ascii="Times New Roman" w:hAnsi="Times New Roman"/>
          <w:color w:val="000000"/>
          <w:sz w:val="24"/>
          <w:szCs w:val="21"/>
        </w:rPr>
        <w:t xml:space="preserve">§ </w:t>
      </w:r>
      <w:r>
        <w:rPr>
          <w:rFonts w:ascii="Times New Roman" w:hAnsi="Times New Roman"/>
          <w:color w:val="000000"/>
          <w:sz w:val="24"/>
          <w:szCs w:val="21"/>
        </w:rPr>
        <w:t>1623 (a)(1)(</w:t>
      </w:r>
      <w:r w:rsidR="001E2787">
        <w:rPr>
          <w:rFonts w:ascii="Times New Roman" w:hAnsi="Times New Roman"/>
          <w:color w:val="000000"/>
          <w:sz w:val="24"/>
          <w:szCs w:val="21"/>
        </w:rPr>
        <w:t>C</w:t>
      </w:r>
      <w:r>
        <w:rPr>
          <w:rFonts w:ascii="Times New Roman" w:hAnsi="Times New Roman"/>
          <w:color w:val="000000"/>
          <w:sz w:val="24"/>
          <w:szCs w:val="21"/>
        </w:rPr>
        <w:t xml:space="preserve">), the Department of State referred a category of claims within the scope of the </w:t>
      </w:r>
      <w:r w:rsidR="001E2787">
        <w:rPr>
          <w:rFonts w:ascii="Times New Roman" w:hAnsi="Times New Roman"/>
          <w:color w:val="000000"/>
          <w:sz w:val="24"/>
          <w:szCs w:val="21"/>
        </w:rPr>
        <w:t xml:space="preserve">Iraq </w:t>
      </w:r>
      <w:r>
        <w:rPr>
          <w:rFonts w:ascii="Times New Roman" w:hAnsi="Times New Roman"/>
          <w:color w:val="000000"/>
          <w:sz w:val="24"/>
          <w:szCs w:val="21"/>
        </w:rPr>
        <w:t xml:space="preserve">Claims Settlement Agreement to the Commission for adjudication and certification.  Further, the Commission anticipates the receipt of an additional referral from the Department of State under the </w:t>
      </w:r>
      <w:r w:rsidR="001E2787">
        <w:rPr>
          <w:rFonts w:ascii="Times New Roman" w:hAnsi="Times New Roman"/>
          <w:color w:val="000000"/>
          <w:sz w:val="24"/>
          <w:szCs w:val="21"/>
        </w:rPr>
        <w:t xml:space="preserve">Iraq </w:t>
      </w:r>
      <w:r>
        <w:rPr>
          <w:rFonts w:ascii="Times New Roman" w:hAnsi="Times New Roman"/>
          <w:color w:val="000000"/>
          <w:sz w:val="24"/>
          <w:szCs w:val="21"/>
        </w:rPr>
        <w:t>Claims Settlement Agreement for adjudication by the Commission during FY 2014.</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 xml:space="preserve">The Commission will also continue to have authority under the International Claims Settlement Act of 1949, as amended, and the 1995 United States-Albanian claims settlement agreement, to make awards in any additional claims against Albania that are filed.   In addition, when appropriate, the Commission will continue to reopen and reconsider claims it had previously denied, taking into account the modification of the Albanian claims settlement agreement effected in 2006. </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Additionally, the Commission will research and respond to requests for information concerning properties expropriated by the Castro regime in Cuba, in support of the Department of State’s continuing implementation of Title IV of the Cuban Liberty and Democratic Solidarity (LIBERTAD) Act of 1996 (the "Helms</w:t>
      </w:r>
      <w:r>
        <w:rPr>
          <w:rFonts w:ascii="Times New Roman" w:hAnsi="Times New Roman"/>
          <w:color w:val="000000"/>
          <w:sz w:val="24"/>
          <w:szCs w:val="21"/>
        </w:rPr>
        <w:noBreakHyphen/>
        <w:t xml:space="preserve">Burton Act").  The Commission continues to maintain and update a computerized database of some 13,000 records containing specific information on all of the claims adjudicated in its Cuban Claims Program.  This database enables the Commission to respond more quickly and accurately to requests for information from the State Department and the general public.  </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r>
        <w:rPr>
          <w:rFonts w:ascii="Times New Roman" w:hAnsi="Times New Roman"/>
          <w:color w:val="000000"/>
          <w:sz w:val="24"/>
          <w:szCs w:val="21"/>
        </w:rPr>
        <w:t>Under the War Claims Act of 1948, as amended, the Commission will continue to have authority to award compensation to any previously uncompensated American servicemen held as prisoners of war in Southeast Asia during the Vietnam conflict, or their survivors, for inadequate rations and inhumane treatment while in captivity.</w:t>
      </w:r>
    </w:p>
    <w:p w:rsidR="004603C0" w:rsidRDefault="004603C0" w:rsidP="004603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1"/>
        </w:rPr>
      </w:pPr>
    </w:p>
    <w:p w:rsidR="004603C0" w:rsidRDefault="004603C0" w:rsidP="004603C0">
      <w:pPr>
        <w:pStyle w:val="xl27"/>
        <w:spacing w:before="0" w:after="0"/>
        <w:rPr>
          <w:rFonts w:ascii="Times New Roman" w:hAnsi="Times New Roman"/>
          <w:b w:val="0"/>
          <w:bCs/>
          <w:color w:val="000000"/>
          <w:szCs w:val="21"/>
        </w:rPr>
      </w:pPr>
      <w:r>
        <w:rPr>
          <w:rFonts w:ascii="Times New Roman" w:hAnsi="Times New Roman"/>
          <w:b w:val="0"/>
          <w:bCs/>
          <w:color w:val="000000"/>
          <w:szCs w:val="21"/>
        </w:rPr>
        <w:t xml:space="preserve">In addition, the Commission will continue to furnish information contained in its records pertaining to the 45 completed international and war related claims programs it has conducted, as requested by claimants, their heirs, attorneys, researchers, and other members of the public.  It </w:t>
      </w:r>
      <w:r>
        <w:rPr>
          <w:rFonts w:ascii="Times New Roman" w:hAnsi="Times New Roman"/>
          <w:b w:val="0"/>
          <w:bCs/>
          <w:color w:val="000000"/>
          <w:szCs w:val="21"/>
        </w:rPr>
        <w:lastRenderedPageBreak/>
        <w:t>will also provide to other U.S. agencies technical advice on their policy determinations, participate in preliminary planning and evaluation of pending claims legislation, and coordinate with Congressional committees considering legislation for adjudication of additional types of claims.</w:t>
      </w:r>
    </w:p>
    <w:p w:rsidR="004603C0" w:rsidRDefault="004603C0" w:rsidP="004603C0">
      <w:pPr>
        <w:pStyle w:val="xl27"/>
        <w:spacing w:before="0" w:after="0"/>
        <w:rPr>
          <w:b w:val="0"/>
          <w:bCs/>
          <w:i/>
          <w:iCs/>
          <w:color w:val="000000"/>
        </w:rPr>
      </w:pPr>
    </w:p>
    <w:p w:rsidR="004603C0" w:rsidRDefault="00FF0CBA" w:rsidP="004603C0">
      <w:pPr>
        <w:pStyle w:val="xl27"/>
        <w:spacing w:before="0" w:after="0"/>
        <w:rPr>
          <w:rFonts w:ascii="Times New Roman" w:hAnsi="Times New Roman"/>
          <w:color w:val="000000"/>
        </w:rPr>
      </w:pPr>
      <w:r>
        <w:rPr>
          <w:rFonts w:ascii="Times New Roman" w:hAnsi="Times New Roman"/>
          <w:color w:val="000000"/>
        </w:rPr>
        <w:t>3</w:t>
      </w:r>
      <w:r w:rsidR="004603C0">
        <w:rPr>
          <w:rFonts w:ascii="Times New Roman" w:hAnsi="Times New Roman"/>
          <w:color w:val="000000"/>
        </w:rPr>
        <w:t>.   Challenges</w:t>
      </w:r>
    </w:p>
    <w:p w:rsidR="004603C0" w:rsidRDefault="004603C0" w:rsidP="004603C0">
      <w:pPr>
        <w:pStyle w:val="xl27"/>
        <w:rPr>
          <w:rFonts w:ascii="Times New Roman" w:hAnsi="Times New Roman"/>
          <w:b w:val="0"/>
          <w:bCs/>
          <w:color w:val="000000"/>
        </w:rPr>
      </w:pPr>
      <w:r>
        <w:rPr>
          <w:rFonts w:ascii="Times New Roman" w:hAnsi="Times New Roman"/>
          <w:b w:val="0"/>
          <w:bCs/>
          <w:color w:val="000000"/>
        </w:rPr>
        <w:t>External Challenges</w:t>
      </w:r>
    </w:p>
    <w:p w:rsidR="004603C0" w:rsidRDefault="004603C0" w:rsidP="004603C0">
      <w:pPr>
        <w:rPr>
          <w:bCs/>
          <w:color w:val="000000"/>
        </w:rPr>
      </w:pPr>
      <w:r>
        <w:rPr>
          <w:bCs/>
          <w:color w:val="000000"/>
        </w:rPr>
        <w:t>The Commission’s external challenges include the necessity of being continuously prepared for a workload dictated almost exclusively by changing international events, current and future claims programs enacted by Congress or referred to the Commission by the Department of State</w:t>
      </w:r>
      <w:r w:rsidR="006B1E46">
        <w:rPr>
          <w:bCs/>
          <w:color w:val="000000"/>
        </w:rPr>
        <w:t>, and</w:t>
      </w:r>
      <w:r>
        <w:rPr>
          <w:bCs/>
          <w:color w:val="000000"/>
        </w:rPr>
        <w:t xml:space="preserve"> by the number of claims filed.  This may require expansion of its staffing to meet the requirements of new programs.  Its external challenges also include the need to notify and assist U.S. nationals in a timely fashion in filing and documenting their claims, to familiarize them with the claims process, and to respond efficiently to all inquiries by the public, Congress, and other federal agencies about current and past programs.</w:t>
      </w:r>
    </w:p>
    <w:p w:rsidR="004603C0" w:rsidRDefault="004603C0" w:rsidP="004603C0">
      <w:pPr>
        <w:pStyle w:val="BodyText"/>
        <w:rPr>
          <w:rFonts w:ascii="Arial" w:hAnsi="Arial"/>
          <w:b/>
          <w:color w:val="000000"/>
        </w:rPr>
      </w:pPr>
    </w:p>
    <w:p w:rsidR="004603C0" w:rsidRDefault="004603C0" w:rsidP="004603C0">
      <w:pPr>
        <w:pStyle w:val="xl27"/>
        <w:rPr>
          <w:rFonts w:ascii="Times New Roman" w:hAnsi="Times New Roman"/>
          <w:b w:val="0"/>
          <w:bCs/>
          <w:color w:val="000000"/>
        </w:rPr>
      </w:pPr>
      <w:r>
        <w:rPr>
          <w:rFonts w:ascii="Times New Roman" w:hAnsi="Times New Roman"/>
          <w:b w:val="0"/>
          <w:bCs/>
          <w:color w:val="000000"/>
        </w:rPr>
        <w:t>Internal Challenges</w:t>
      </w:r>
    </w:p>
    <w:p w:rsidR="004603C0" w:rsidRDefault="004603C0" w:rsidP="004603C0">
      <w:pPr>
        <w:pStyle w:val="BodyText"/>
        <w:rPr>
          <w:color w:val="000000"/>
        </w:rPr>
      </w:pPr>
      <w:r>
        <w:rPr>
          <w:color w:val="000000"/>
        </w:rPr>
        <w:t xml:space="preserve">The internal challenges the Commission faces include maintaining and focusing the skills, expertise, and experience of its staff to assist U.S. nationals with claims against foreign governments as well as to provide technical assistance in this area to the Department of State and other federal agencies upon request, while at the same time continuing its claims records modernization effort by improving and updating the information in its databases and on its website.  The Commission intends also to concentrate efforts on increasing its transparency, by increasing the availability of its decisions and records to the public, particularly through electronic media. </w:t>
      </w:r>
    </w:p>
    <w:p w:rsidR="004603C0" w:rsidRDefault="004603C0" w:rsidP="004603C0">
      <w:pPr>
        <w:pStyle w:val="BodyText"/>
        <w:ind w:firstLine="720"/>
        <w:rPr>
          <w:color w:val="000000"/>
        </w:rPr>
      </w:pPr>
    </w:p>
    <w:p w:rsidR="004603C0" w:rsidRPr="0051256B" w:rsidRDefault="004603C0" w:rsidP="004603C0">
      <w:pPr>
        <w:pStyle w:val="BodyText"/>
        <w:rPr>
          <w:b/>
          <w:color w:val="000000"/>
        </w:rPr>
      </w:pPr>
      <w:r>
        <w:rPr>
          <w:b/>
          <w:color w:val="000000"/>
        </w:rPr>
        <w:t>4.  Performance Challenges</w:t>
      </w:r>
    </w:p>
    <w:p w:rsidR="00BF0A8E" w:rsidRPr="004603C0" w:rsidRDefault="004603C0" w:rsidP="004603C0">
      <w:pPr>
        <w:pStyle w:val="BodyTextIndent"/>
        <w:ind w:left="0"/>
        <w:rPr>
          <w:b/>
          <w:i w:val="0"/>
        </w:rPr>
      </w:pPr>
      <w:r w:rsidRPr="004603C0">
        <w:rPr>
          <w:i w:val="0"/>
          <w:color w:val="000000"/>
        </w:rPr>
        <w:t>The Commission is an independent agency.  Its budget is fully integrated with its own priorities and corresponds to the Department’s Strategic Goal 2:  Prevent Crime, Protect the Rights of the American People, and Enforce Federal Law.</w:t>
      </w:r>
    </w:p>
    <w:p w:rsidR="0011146A" w:rsidRPr="004603C0" w:rsidRDefault="0011146A" w:rsidP="001D1825">
      <w:pPr>
        <w:pStyle w:val="BodyTextIndent"/>
        <w:ind w:left="0"/>
        <w:rPr>
          <w:b/>
          <w:i w:val="0"/>
        </w:rPr>
      </w:pPr>
    </w:p>
    <w:p w:rsidR="00BD7466" w:rsidRDefault="00F26F9A" w:rsidP="00BD7466">
      <w:pPr>
        <w:pStyle w:val="BodyText"/>
        <w:rPr>
          <w:rFonts w:cs="Arial"/>
          <w:b/>
          <w:bCs/>
          <w:sz w:val="28"/>
          <w:szCs w:val="28"/>
        </w:rPr>
      </w:pPr>
      <w:bookmarkStart w:id="0" w:name="OLE_LINK5"/>
      <w:bookmarkStart w:id="1" w:name="OLE_LINK6"/>
      <w:r>
        <w:rPr>
          <w:rFonts w:cs="Arial"/>
          <w:b/>
          <w:bCs/>
          <w:sz w:val="28"/>
          <w:szCs w:val="28"/>
        </w:rPr>
        <w:t>I</w:t>
      </w:r>
      <w:r w:rsidR="00DD1FFF">
        <w:rPr>
          <w:rFonts w:cs="Arial"/>
          <w:b/>
          <w:bCs/>
          <w:sz w:val="28"/>
          <w:szCs w:val="28"/>
        </w:rPr>
        <w:t>I</w:t>
      </w:r>
      <w:r w:rsidR="00AD6A16">
        <w:rPr>
          <w:rFonts w:cs="Arial"/>
          <w:b/>
          <w:bCs/>
          <w:sz w:val="28"/>
          <w:szCs w:val="28"/>
        </w:rPr>
        <w:t>I</w:t>
      </w:r>
      <w:r w:rsidR="00B1486E">
        <w:rPr>
          <w:rFonts w:cs="Arial"/>
          <w:b/>
          <w:bCs/>
          <w:sz w:val="28"/>
          <w:szCs w:val="28"/>
        </w:rPr>
        <w:t xml:space="preserve">. </w:t>
      </w:r>
      <w:r w:rsidR="00BD7466" w:rsidRPr="00E43151">
        <w:rPr>
          <w:rFonts w:cs="Arial"/>
          <w:b/>
          <w:bCs/>
          <w:sz w:val="28"/>
          <w:szCs w:val="28"/>
        </w:rPr>
        <w:t>Appropriation</w:t>
      </w:r>
      <w:r w:rsidR="00FF5D2F" w:rsidRPr="00E43151">
        <w:rPr>
          <w:rFonts w:cs="Arial"/>
          <w:b/>
          <w:bCs/>
          <w:sz w:val="28"/>
          <w:szCs w:val="28"/>
        </w:rPr>
        <w:t>s</w:t>
      </w:r>
      <w:r w:rsidR="00BD7466" w:rsidRPr="00E43151">
        <w:rPr>
          <w:rFonts w:cs="Arial"/>
          <w:b/>
          <w:bCs/>
          <w:sz w:val="28"/>
          <w:szCs w:val="28"/>
        </w:rPr>
        <w:t xml:space="preserve"> Language and Analysis of Appropriation</w:t>
      </w:r>
      <w:r w:rsidR="00FF5D2F" w:rsidRPr="00E43151">
        <w:rPr>
          <w:rFonts w:cs="Arial"/>
          <w:b/>
          <w:bCs/>
          <w:sz w:val="28"/>
          <w:szCs w:val="28"/>
        </w:rPr>
        <w:t>s</w:t>
      </w:r>
      <w:r w:rsidR="00BD7466" w:rsidRPr="00E43151">
        <w:rPr>
          <w:rFonts w:cs="Arial"/>
          <w:b/>
          <w:bCs/>
          <w:sz w:val="28"/>
          <w:szCs w:val="28"/>
        </w:rPr>
        <w:t xml:space="preserve"> Language</w:t>
      </w:r>
    </w:p>
    <w:p w:rsidR="00A06230" w:rsidRDefault="00A06230" w:rsidP="00BD7466">
      <w:pPr>
        <w:pStyle w:val="BodyText"/>
        <w:rPr>
          <w:rFonts w:cs="Arial"/>
          <w:b/>
          <w:bCs/>
          <w:sz w:val="28"/>
          <w:szCs w:val="28"/>
        </w:rPr>
      </w:pPr>
    </w:p>
    <w:p w:rsidR="00A06230" w:rsidRPr="001F5BAC" w:rsidRDefault="00A06230" w:rsidP="00BD7466">
      <w:pPr>
        <w:pStyle w:val="BodyText"/>
        <w:rPr>
          <w:rFonts w:cs="Arial"/>
          <w:b/>
          <w:bCs/>
        </w:rPr>
      </w:pPr>
      <w:r w:rsidRPr="001F5BAC">
        <w:rPr>
          <w:rFonts w:cs="Arial"/>
          <w:b/>
          <w:bCs/>
        </w:rPr>
        <w:t>Appropriations Language</w:t>
      </w:r>
    </w:p>
    <w:bookmarkEnd w:id="0"/>
    <w:bookmarkEnd w:id="1"/>
    <w:p w:rsidR="004B775C" w:rsidRPr="001F5BAC" w:rsidRDefault="004B775C" w:rsidP="004B775C">
      <w:pPr>
        <w:pStyle w:val="BodyText"/>
        <w:rPr>
          <w:rFonts w:cs="Arial"/>
          <w:b/>
          <w:bCs/>
        </w:rPr>
      </w:pPr>
    </w:p>
    <w:p w:rsidR="004603C0" w:rsidRPr="00EA0A76" w:rsidRDefault="00F26F9A" w:rsidP="004603C0">
      <w:pPr>
        <w:pStyle w:val="BodyText"/>
        <w:rPr>
          <w:rFonts w:cs="Arial"/>
          <w:bCs/>
        </w:rPr>
      </w:pPr>
      <w:r>
        <w:rPr>
          <w:rFonts w:cs="Arial"/>
          <w:bCs/>
        </w:rPr>
        <w:t>The 2014</w:t>
      </w:r>
      <w:r w:rsidR="004603C0">
        <w:rPr>
          <w:rFonts w:cs="Arial"/>
          <w:bCs/>
        </w:rPr>
        <w:t xml:space="preserve"> budget estimates include proposed changes in the appropriation language listed below.  New language is italicized and underlined, and language proposed for deletion is bracketed.</w:t>
      </w:r>
    </w:p>
    <w:p w:rsidR="004603C0" w:rsidRDefault="004603C0" w:rsidP="004603C0">
      <w:pPr>
        <w:pStyle w:val="BodyText"/>
        <w:rPr>
          <w:rFonts w:cs="Arial"/>
          <w:b/>
          <w:bCs/>
        </w:rPr>
      </w:pPr>
    </w:p>
    <w:p w:rsidR="004603C0" w:rsidRPr="00390FD9" w:rsidRDefault="004603C0" w:rsidP="004603C0">
      <w:pPr>
        <w:pStyle w:val="BodyText"/>
        <w:rPr>
          <w:rFonts w:cs="Arial"/>
          <w:bCs/>
        </w:rPr>
      </w:pPr>
      <w:r w:rsidRPr="00390FD9">
        <w:rPr>
          <w:rFonts w:cs="Arial"/>
          <w:bCs/>
        </w:rPr>
        <w:t>SALARIES AND EXPENSES, FOREIGN CLAIMS SETTLEMENT COMMISSION</w:t>
      </w:r>
    </w:p>
    <w:p w:rsidR="004603C0" w:rsidRDefault="004603C0" w:rsidP="004603C0">
      <w:pPr>
        <w:pStyle w:val="BodyText"/>
        <w:rPr>
          <w:rFonts w:cs="Arial"/>
          <w:bCs/>
          <w:i/>
        </w:rPr>
      </w:pPr>
    </w:p>
    <w:p w:rsidR="004603C0" w:rsidRPr="00340FAB" w:rsidRDefault="004603C0" w:rsidP="004603C0">
      <w:pPr>
        <w:pStyle w:val="BodyText"/>
        <w:rPr>
          <w:rFonts w:cs="Arial"/>
          <w:bCs/>
        </w:rPr>
      </w:pPr>
      <w:r w:rsidRPr="00340FAB">
        <w:rPr>
          <w:rFonts w:cs="Arial"/>
          <w:bCs/>
        </w:rPr>
        <w:t>For expenses necessary to carry out the activities of the Foreign Claims Settlement Commission,</w:t>
      </w:r>
    </w:p>
    <w:p w:rsidR="004603C0" w:rsidRPr="00874AAE" w:rsidRDefault="004603C0" w:rsidP="004603C0">
      <w:pPr>
        <w:pStyle w:val="BodyText"/>
        <w:rPr>
          <w:rFonts w:cs="Arial"/>
          <w:bCs/>
          <w:i/>
          <w:u w:val="single"/>
        </w:rPr>
      </w:pPr>
      <w:r w:rsidRPr="00340FAB">
        <w:rPr>
          <w:rFonts w:cs="Arial"/>
          <w:bCs/>
        </w:rPr>
        <w:t>including services as authorized by section 3109 of titl</w:t>
      </w:r>
      <w:r w:rsidR="00904B48">
        <w:rPr>
          <w:rFonts w:cs="Arial"/>
          <w:bCs/>
        </w:rPr>
        <w:t>e 5, United States Code, [$2,012</w:t>
      </w:r>
      <w:r w:rsidRPr="00340FAB">
        <w:rPr>
          <w:rFonts w:cs="Arial"/>
          <w:bCs/>
        </w:rPr>
        <w:t>,000]</w:t>
      </w:r>
      <w:r w:rsidR="00B413F6">
        <w:rPr>
          <w:rFonts w:cs="Arial"/>
          <w:bCs/>
          <w:i/>
          <w:u w:val="single"/>
        </w:rPr>
        <w:t xml:space="preserve"> $2,218</w:t>
      </w:r>
      <w:r w:rsidRPr="00874AAE">
        <w:rPr>
          <w:rFonts w:cs="Arial"/>
          <w:bCs/>
          <w:i/>
          <w:u w:val="single"/>
        </w:rPr>
        <w:t>,000</w:t>
      </w:r>
      <w:r w:rsidRPr="00340FAB">
        <w:rPr>
          <w:rFonts w:cs="Arial"/>
          <w:bCs/>
          <w:i/>
        </w:rPr>
        <w:t>.</w:t>
      </w:r>
    </w:p>
    <w:p w:rsidR="004603C0" w:rsidRDefault="004603C0" w:rsidP="004603C0">
      <w:pPr>
        <w:pStyle w:val="BodyText"/>
        <w:rPr>
          <w:rFonts w:cs="Arial"/>
          <w:bCs/>
          <w:i/>
        </w:rPr>
      </w:pPr>
    </w:p>
    <w:p w:rsidR="004603C0" w:rsidRDefault="004603C0" w:rsidP="004603C0">
      <w:pPr>
        <w:pStyle w:val="BodyText"/>
        <w:rPr>
          <w:rFonts w:cs="Arial"/>
          <w:b/>
          <w:bCs/>
        </w:rPr>
      </w:pPr>
      <w:r>
        <w:rPr>
          <w:rFonts w:cs="Arial"/>
          <w:bCs/>
          <w:i/>
        </w:rPr>
        <w:t xml:space="preserve"> </w:t>
      </w:r>
      <w:r>
        <w:rPr>
          <w:rFonts w:cs="Arial"/>
          <w:b/>
          <w:bCs/>
        </w:rPr>
        <w:t>Analysis of Appropriations Language</w:t>
      </w:r>
    </w:p>
    <w:p w:rsidR="004603C0" w:rsidRDefault="004603C0" w:rsidP="004603C0">
      <w:pPr>
        <w:pStyle w:val="BodyText"/>
        <w:rPr>
          <w:rFonts w:cs="Arial"/>
          <w:b/>
          <w:bCs/>
        </w:rPr>
      </w:pPr>
    </w:p>
    <w:p w:rsidR="004603C0" w:rsidRDefault="004603C0" w:rsidP="004603C0">
      <w:pPr>
        <w:pStyle w:val="BodyText"/>
        <w:rPr>
          <w:rFonts w:cs="Arial"/>
          <w:bCs/>
          <w:i/>
        </w:rPr>
      </w:pPr>
      <w:r>
        <w:rPr>
          <w:rFonts w:cs="Arial"/>
          <w:bCs/>
          <w:i/>
        </w:rPr>
        <w:t>No substantive changes are proposed.</w:t>
      </w:r>
    </w:p>
    <w:p w:rsidR="00C94810" w:rsidRDefault="00C94810" w:rsidP="004B775C">
      <w:pPr>
        <w:pStyle w:val="BodyText"/>
        <w:rPr>
          <w:rFonts w:cs="Arial"/>
          <w:bCs/>
          <w:i/>
        </w:rPr>
      </w:pPr>
    </w:p>
    <w:p w:rsidR="00C94810" w:rsidRPr="00DC4C9F" w:rsidRDefault="00D36891" w:rsidP="00C94810">
      <w:pPr>
        <w:pStyle w:val="BodyText"/>
        <w:rPr>
          <w:rFonts w:cs="Arial"/>
          <w:b/>
          <w:bCs/>
          <w:sz w:val="28"/>
          <w:szCs w:val="28"/>
        </w:rPr>
      </w:pPr>
      <w:r>
        <w:rPr>
          <w:rFonts w:cs="Arial"/>
          <w:b/>
          <w:bCs/>
          <w:sz w:val="28"/>
          <w:szCs w:val="28"/>
        </w:rPr>
        <w:t>IV. Program Activity Justification</w:t>
      </w:r>
    </w:p>
    <w:p w:rsidR="00CC0EDE" w:rsidRDefault="00CC0EDE" w:rsidP="00CC0EDE">
      <w:pPr>
        <w:pStyle w:val="BodyText"/>
        <w:rPr>
          <w:rFonts w:cs="Arial"/>
          <w:b/>
          <w:bCs/>
        </w:rPr>
      </w:pPr>
    </w:p>
    <w:p w:rsidR="00CC0EDE" w:rsidRDefault="00CC0EDE" w:rsidP="00CC0EDE">
      <w:pPr>
        <w:pStyle w:val="BodyText"/>
        <w:rPr>
          <w:rFonts w:cs="Arial"/>
          <w:b/>
          <w:bCs/>
        </w:rPr>
      </w:pPr>
      <w:r>
        <w:rPr>
          <w:rFonts w:cs="Arial"/>
          <w:b/>
          <w:bCs/>
        </w:rPr>
        <w:t xml:space="preserve">A. </w:t>
      </w:r>
      <w:r w:rsidR="00D95E1E">
        <w:rPr>
          <w:rFonts w:cs="Arial"/>
          <w:b/>
          <w:bCs/>
          <w:i/>
          <w:iCs/>
        </w:rPr>
        <w:t>Foreign Claims</w:t>
      </w:r>
      <w:r>
        <w:rPr>
          <w:rFonts w:cs="Arial"/>
          <w:b/>
          <w:bCs/>
        </w:rPr>
        <w:tab/>
      </w:r>
      <w:r>
        <w:rPr>
          <w:rFonts w:cs="Arial"/>
          <w:b/>
          <w:bCs/>
        </w:rPr>
        <w:tab/>
      </w:r>
    </w:p>
    <w:p w:rsidR="00CC0EDE" w:rsidRDefault="00CC0EDE" w:rsidP="00CC0EDE">
      <w:pPr>
        <w:pStyle w:val="Title"/>
        <w:rPr>
          <w:b w:val="0"/>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170"/>
        <w:gridCol w:w="1170"/>
        <w:gridCol w:w="2088"/>
      </w:tblGrid>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D95E1E">
            <w:pPr>
              <w:pStyle w:val="Title"/>
              <w:ind w:left="0"/>
              <w:jc w:val="left"/>
              <w:rPr>
                <w:iCs/>
              </w:rPr>
            </w:pPr>
            <w:r>
              <w:rPr>
                <w:iCs/>
              </w:rPr>
              <w:t>Foreign Claims</w:t>
            </w:r>
          </w:p>
        </w:tc>
        <w:tc>
          <w:tcPr>
            <w:tcW w:w="1170"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rPr>
                <w:i w:val="0"/>
              </w:rPr>
            </w:pPr>
            <w:r>
              <w:rPr>
                <w:i w:val="0"/>
              </w:rPr>
              <w:t>Direct Pos.</w:t>
            </w:r>
          </w:p>
        </w:tc>
        <w:tc>
          <w:tcPr>
            <w:tcW w:w="1170"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rPr>
                <w:i w:val="0"/>
              </w:rPr>
            </w:pPr>
            <w:r>
              <w:rPr>
                <w:i w:val="0"/>
              </w:rPr>
              <w:t>Estimate</w:t>
            </w:r>
            <w:r>
              <w:rPr>
                <w:i w:val="0"/>
              </w:rPr>
              <w:br/>
              <w:t>FTE</w:t>
            </w:r>
          </w:p>
        </w:tc>
        <w:tc>
          <w:tcPr>
            <w:tcW w:w="208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rPr>
                <w:i w:val="0"/>
              </w:rPr>
            </w:pPr>
            <w:r>
              <w:rPr>
                <w:i w:val="0"/>
              </w:rPr>
              <w:t>Amount</w:t>
            </w:r>
          </w:p>
        </w:tc>
      </w:tr>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jc w:val="left"/>
              <w:rPr>
                <w:b w:val="0"/>
                <w:bCs/>
                <w:i w:val="0"/>
              </w:rPr>
            </w:pPr>
            <w:r>
              <w:rPr>
                <w:b w:val="0"/>
                <w:bCs/>
                <w:i w:val="0"/>
              </w:rPr>
              <w:t xml:space="preserve">2012 Enacted </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CC0EDE">
            <w:pPr>
              <w:pStyle w:val="Title"/>
              <w:ind w:left="0"/>
              <w:jc w:val="right"/>
              <w:rPr>
                <w:b w:val="0"/>
                <w:bCs/>
                <w:i w:val="0"/>
              </w:rPr>
            </w:pPr>
            <w:r>
              <w:rPr>
                <w:b w:val="0"/>
                <w:bCs/>
                <w:i w:val="0"/>
              </w:rPr>
              <w:t>11</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0D424F">
            <w:pPr>
              <w:pStyle w:val="Title"/>
              <w:ind w:left="0"/>
              <w:jc w:val="right"/>
              <w:rPr>
                <w:b w:val="0"/>
                <w:bCs/>
                <w:i w:val="0"/>
              </w:rPr>
            </w:pPr>
            <w:r>
              <w:rPr>
                <w:b w:val="0"/>
                <w:bCs/>
                <w:i w:val="0"/>
              </w:rPr>
              <w:t>9</w:t>
            </w:r>
          </w:p>
        </w:tc>
        <w:tc>
          <w:tcPr>
            <w:tcW w:w="2088" w:type="dxa"/>
            <w:tcBorders>
              <w:top w:val="single" w:sz="4" w:space="0" w:color="auto"/>
              <w:left w:val="single" w:sz="4" w:space="0" w:color="auto"/>
              <w:bottom w:val="single" w:sz="4" w:space="0" w:color="auto"/>
              <w:right w:val="single" w:sz="4" w:space="0" w:color="auto"/>
            </w:tcBorders>
            <w:vAlign w:val="center"/>
          </w:tcPr>
          <w:p w:rsidR="00CC0EDE" w:rsidRDefault="00CC0EDE">
            <w:pPr>
              <w:pStyle w:val="Title"/>
              <w:ind w:left="0"/>
              <w:jc w:val="right"/>
              <w:rPr>
                <w:b w:val="0"/>
                <w:bCs/>
                <w:i w:val="0"/>
              </w:rPr>
            </w:pPr>
            <w:r>
              <w:rPr>
                <w:b w:val="0"/>
                <w:bCs/>
                <w:i w:val="0"/>
              </w:rPr>
              <w:t>$2,000</w:t>
            </w:r>
          </w:p>
        </w:tc>
      </w:tr>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jc w:val="left"/>
              <w:rPr>
                <w:b w:val="0"/>
                <w:bCs/>
                <w:i w:val="0"/>
              </w:rPr>
            </w:pPr>
            <w:r>
              <w:rPr>
                <w:b w:val="0"/>
                <w:bCs/>
                <w:i w:val="0"/>
              </w:rPr>
              <w:t>2013 Continuing Resolution</w:t>
            </w:r>
            <w:r w:rsidR="000D424F">
              <w:rPr>
                <w:b w:val="0"/>
                <w:bCs/>
                <w:i w:val="0"/>
              </w:rPr>
              <w:t xml:space="preserve"> with</w:t>
            </w:r>
            <w:r>
              <w:rPr>
                <w:b w:val="0"/>
                <w:bCs/>
                <w:i w:val="0"/>
              </w:rPr>
              <w:t xml:space="preserve"> 0.612% Increase</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0D424F">
            <w:pPr>
              <w:pStyle w:val="Title"/>
              <w:ind w:left="0"/>
              <w:jc w:val="right"/>
              <w:rPr>
                <w:b w:val="0"/>
                <w:bCs/>
                <w:i w:val="0"/>
              </w:rPr>
            </w:pPr>
            <w:r>
              <w:rPr>
                <w:b w:val="0"/>
                <w:bCs/>
                <w:i w:val="0"/>
              </w:rPr>
              <w:t>11</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0D424F">
            <w:pPr>
              <w:pStyle w:val="Title"/>
              <w:ind w:left="0"/>
              <w:jc w:val="right"/>
              <w:rPr>
                <w:b w:val="0"/>
                <w:bCs/>
                <w:i w:val="0"/>
              </w:rPr>
            </w:pPr>
            <w:r>
              <w:rPr>
                <w:b w:val="0"/>
                <w:bCs/>
                <w:i w:val="0"/>
              </w:rPr>
              <w:t>9</w:t>
            </w:r>
          </w:p>
        </w:tc>
        <w:tc>
          <w:tcPr>
            <w:tcW w:w="2088" w:type="dxa"/>
            <w:tcBorders>
              <w:top w:val="single" w:sz="4" w:space="0" w:color="auto"/>
              <w:left w:val="single" w:sz="4" w:space="0" w:color="auto"/>
              <w:bottom w:val="single" w:sz="4" w:space="0" w:color="auto"/>
              <w:right w:val="single" w:sz="4" w:space="0" w:color="auto"/>
            </w:tcBorders>
            <w:vAlign w:val="center"/>
          </w:tcPr>
          <w:p w:rsidR="00CC0EDE" w:rsidRDefault="00CC0EDE">
            <w:pPr>
              <w:pStyle w:val="Title"/>
              <w:ind w:left="0"/>
              <w:jc w:val="right"/>
              <w:rPr>
                <w:b w:val="0"/>
                <w:bCs/>
                <w:i w:val="0"/>
              </w:rPr>
            </w:pPr>
            <w:r>
              <w:rPr>
                <w:b w:val="0"/>
                <w:bCs/>
                <w:i w:val="0"/>
              </w:rPr>
              <w:t>$2,012</w:t>
            </w:r>
          </w:p>
        </w:tc>
      </w:tr>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jc w:val="left"/>
              <w:rPr>
                <w:b w:val="0"/>
                <w:bCs/>
                <w:i w:val="0"/>
              </w:rPr>
            </w:pPr>
            <w:r>
              <w:rPr>
                <w:b w:val="0"/>
                <w:bCs/>
                <w:i w:val="0"/>
              </w:rPr>
              <w:t>Base and Technical Adjustments</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9D5D6F">
            <w:pPr>
              <w:pStyle w:val="Title"/>
              <w:ind w:left="0"/>
              <w:jc w:val="right"/>
              <w:rPr>
                <w:b w:val="0"/>
                <w:bCs/>
                <w:i w:val="0"/>
              </w:rPr>
            </w:pPr>
            <w:r>
              <w:rPr>
                <w:b w:val="0"/>
                <w:bCs/>
                <w:i w:val="0"/>
              </w:rPr>
              <w:t>0</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CA5939">
            <w:pPr>
              <w:pStyle w:val="Title"/>
              <w:ind w:left="0"/>
              <w:jc w:val="right"/>
              <w:rPr>
                <w:b w:val="0"/>
                <w:bCs/>
                <w:i w:val="0"/>
              </w:rPr>
            </w:pPr>
            <w:r>
              <w:rPr>
                <w:b w:val="0"/>
                <w:bCs/>
                <w:i w:val="0"/>
              </w:rPr>
              <w:t>0</w:t>
            </w:r>
          </w:p>
        </w:tc>
        <w:tc>
          <w:tcPr>
            <w:tcW w:w="2088" w:type="dxa"/>
            <w:tcBorders>
              <w:top w:val="single" w:sz="4" w:space="0" w:color="auto"/>
              <w:left w:val="single" w:sz="4" w:space="0" w:color="auto"/>
              <w:bottom w:val="single" w:sz="4" w:space="0" w:color="auto"/>
              <w:right w:val="single" w:sz="4" w:space="0" w:color="auto"/>
            </w:tcBorders>
            <w:vAlign w:val="center"/>
          </w:tcPr>
          <w:p w:rsidR="00CC0EDE" w:rsidRDefault="008D3455">
            <w:pPr>
              <w:pStyle w:val="Title"/>
              <w:ind w:left="0"/>
              <w:jc w:val="right"/>
              <w:rPr>
                <w:b w:val="0"/>
                <w:bCs/>
                <w:i w:val="0"/>
              </w:rPr>
            </w:pPr>
            <w:r>
              <w:rPr>
                <w:b w:val="0"/>
                <w:bCs/>
                <w:i w:val="0"/>
              </w:rPr>
              <w:t>$206</w:t>
            </w:r>
          </w:p>
        </w:tc>
      </w:tr>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jc w:val="left"/>
              <w:rPr>
                <w:b w:val="0"/>
                <w:bCs/>
                <w:i w:val="0"/>
              </w:rPr>
            </w:pPr>
            <w:r>
              <w:rPr>
                <w:b w:val="0"/>
                <w:bCs/>
                <w:i w:val="0"/>
              </w:rPr>
              <w:t>2014 Current Services</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9D5D6F">
            <w:pPr>
              <w:pStyle w:val="Title"/>
              <w:ind w:left="0"/>
              <w:jc w:val="right"/>
              <w:rPr>
                <w:b w:val="0"/>
                <w:bCs/>
                <w:i w:val="0"/>
              </w:rPr>
            </w:pPr>
            <w:r>
              <w:rPr>
                <w:b w:val="0"/>
                <w:bCs/>
                <w:i w:val="0"/>
              </w:rPr>
              <w:t>11</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9D5D6F">
            <w:pPr>
              <w:pStyle w:val="Title"/>
              <w:ind w:left="0"/>
              <w:jc w:val="right"/>
              <w:rPr>
                <w:b w:val="0"/>
                <w:bCs/>
                <w:i w:val="0"/>
              </w:rPr>
            </w:pPr>
            <w:r>
              <w:rPr>
                <w:b w:val="0"/>
                <w:bCs/>
                <w:i w:val="0"/>
              </w:rPr>
              <w:t>9</w:t>
            </w:r>
          </w:p>
        </w:tc>
        <w:tc>
          <w:tcPr>
            <w:tcW w:w="2088" w:type="dxa"/>
            <w:tcBorders>
              <w:top w:val="single" w:sz="4" w:space="0" w:color="auto"/>
              <w:left w:val="single" w:sz="4" w:space="0" w:color="auto"/>
              <w:bottom w:val="single" w:sz="4" w:space="0" w:color="auto"/>
              <w:right w:val="single" w:sz="4" w:space="0" w:color="auto"/>
            </w:tcBorders>
            <w:vAlign w:val="center"/>
          </w:tcPr>
          <w:p w:rsidR="00CC0EDE" w:rsidRDefault="00CC0EDE">
            <w:pPr>
              <w:pStyle w:val="Title"/>
              <w:ind w:left="0"/>
              <w:jc w:val="right"/>
              <w:rPr>
                <w:b w:val="0"/>
                <w:bCs/>
                <w:i w:val="0"/>
              </w:rPr>
            </w:pPr>
            <w:r>
              <w:rPr>
                <w:b w:val="0"/>
                <w:bCs/>
                <w:i w:val="0"/>
              </w:rPr>
              <w:t>$2,218</w:t>
            </w:r>
          </w:p>
        </w:tc>
      </w:tr>
      <w:tr w:rsidR="00CC0EDE" w:rsidTr="00C52E60">
        <w:tc>
          <w:tcPr>
            <w:tcW w:w="5148" w:type="dxa"/>
            <w:tcBorders>
              <w:top w:val="single" w:sz="4" w:space="0" w:color="auto"/>
              <w:left w:val="single" w:sz="4" w:space="0" w:color="auto"/>
              <w:bottom w:val="single" w:sz="4" w:space="0" w:color="auto"/>
              <w:right w:val="single" w:sz="4" w:space="0" w:color="auto"/>
            </w:tcBorders>
            <w:hideMark/>
          </w:tcPr>
          <w:p w:rsidR="00CC0EDE" w:rsidRDefault="00CC0EDE">
            <w:pPr>
              <w:pStyle w:val="Title"/>
              <w:ind w:left="0"/>
              <w:jc w:val="left"/>
              <w:rPr>
                <w:b w:val="0"/>
                <w:bCs/>
                <w:i w:val="0"/>
              </w:rPr>
            </w:pPr>
            <w:r>
              <w:rPr>
                <w:b w:val="0"/>
                <w:bCs/>
                <w:i w:val="0"/>
              </w:rPr>
              <w:t>2014 Request</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C52E60">
            <w:pPr>
              <w:pStyle w:val="Title"/>
              <w:ind w:left="0"/>
              <w:jc w:val="right"/>
              <w:rPr>
                <w:b w:val="0"/>
                <w:bCs/>
                <w:i w:val="0"/>
              </w:rPr>
            </w:pPr>
            <w:r>
              <w:rPr>
                <w:b w:val="0"/>
                <w:bCs/>
                <w:i w:val="0"/>
              </w:rPr>
              <w:t>11</w:t>
            </w:r>
          </w:p>
        </w:tc>
        <w:tc>
          <w:tcPr>
            <w:tcW w:w="1170" w:type="dxa"/>
            <w:tcBorders>
              <w:top w:val="single" w:sz="4" w:space="0" w:color="auto"/>
              <w:left w:val="single" w:sz="4" w:space="0" w:color="auto"/>
              <w:bottom w:val="single" w:sz="4" w:space="0" w:color="auto"/>
              <w:right w:val="single" w:sz="4" w:space="0" w:color="auto"/>
            </w:tcBorders>
            <w:vAlign w:val="center"/>
          </w:tcPr>
          <w:p w:rsidR="00CC0EDE" w:rsidRDefault="00C52E60">
            <w:pPr>
              <w:pStyle w:val="Title"/>
              <w:ind w:left="0"/>
              <w:jc w:val="right"/>
              <w:rPr>
                <w:b w:val="0"/>
                <w:bCs/>
                <w:i w:val="0"/>
              </w:rPr>
            </w:pPr>
            <w:r>
              <w:rPr>
                <w:b w:val="0"/>
                <w:bCs/>
                <w:i w:val="0"/>
              </w:rPr>
              <w:t>9</w:t>
            </w:r>
          </w:p>
        </w:tc>
        <w:tc>
          <w:tcPr>
            <w:tcW w:w="2088" w:type="dxa"/>
            <w:tcBorders>
              <w:top w:val="single" w:sz="4" w:space="0" w:color="auto"/>
              <w:left w:val="single" w:sz="4" w:space="0" w:color="auto"/>
              <w:bottom w:val="single" w:sz="4" w:space="0" w:color="auto"/>
              <w:right w:val="single" w:sz="4" w:space="0" w:color="auto"/>
            </w:tcBorders>
            <w:vAlign w:val="center"/>
          </w:tcPr>
          <w:p w:rsidR="00CC0EDE" w:rsidRDefault="00CC0EDE">
            <w:pPr>
              <w:pStyle w:val="Title"/>
              <w:ind w:left="0"/>
              <w:jc w:val="right"/>
              <w:rPr>
                <w:b w:val="0"/>
                <w:bCs/>
                <w:i w:val="0"/>
              </w:rPr>
            </w:pPr>
            <w:r>
              <w:rPr>
                <w:b w:val="0"/>
                <w:bCs/>
                <w:i w:val="0"/>
              </w:rPr>
              <w:t>$2,218</w:t>
            </w:r>
          </w:p>
        </w:tc>
      </w:tr>
      <w:tr w:rsidR="00CC0EDE" w:rsidTr="00C52E60">
        <w:tc>
          <w:tcPr>
            <w:tcW w:w="5148" w:type="dxa"/>
            <w:tcBorders>
              <w:top w:val="single" w:sz="4" w:space="0" w:color="auto"/>
              <w:left w:val="single" w:sz="4" w:space="0" w:color="auto"/>
              <w:bottom w:val="single" w:sz="4" w:space="0" w:color="auto"/>
              <w:right w:val="single" w:sz="4" w:space="0" w:color="auto"/>
            </w:tcBorders>
            <w:shd w:val="clear" w:color="auto" w:fill="E6E6E6"/>
            <w:hideMark/>
          </w:tcPr>
          <w:p w:rsidR="00CC0EDE" w:rsidRDefault="00CC0EDE">
            <w:pPr>
              <w:pStyle w:val="Title"/>
              <w:ind w:left="0"/>
              <w:jc w:val="left"/>
              <w:rPr>
                <w:b w:val="0"/>
                <w:bCs/>
                <w:i w:val="0"/>
              </w:rPr>
            </w:pPr>
            <w:r>
              <w:rPr>
                <w:i w:val="0"/>
              </w:rPr>
              <w:t>Total Change 2012-2014</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CC0EDE" w:rsidRDefault="009D5D6F">
            <w:pPr>
              <w:pStyle w:val="Title"/>
              <w:ind w:left="0"/>
              <w:jc w:val="right"/>
              <w:rPr>
                <w:b w:val="0"/>
                <w:bCs/>
                <w:i w:val="0"/>
              </w:rPr>
            </w:pPr>
            <w:r>
              <w:rPr>
                <w:b w:val="0"/>
                <w:bCs/>
                <w:i w:val="0"/>
              </w:rPr>
              <w:t>0</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CC0EDE" w:rsidRDefault="009D5D6F">
            <w:pPr>
              <w:pStyle w:val="Title"/>
              <w:ind w:left="0"/>
              <w:jc w:val="right"/>
              <w:rPr>
                <w:b w:val="0"/>
                <w:bCs/>
                <w:i w:val="0"/>
              </w:rPr>
            </w:pPr>
            <w:r>
              <w:rPr>
                <w:b w:val="0"/>
                <w:bCs/>
                <w:i w:val="0"/>
              </w:rPr>
              <w:t>0</w:t>
            </w:r>
          </w:p>
        </w:tc>
        <w:tc>
          <w:tcPr>
            <w:tcW w:w="2088" w:type="dxa"/>
            <w:tcBorders>
              <w:top w:val="single" w:sz="4" w:space="0" w:color="auto"/>
              <w:left w:val="single" w:sz="4" w:space="0" w:color="auto"/>
              <w:bottom w:val="single" w:sz="4" w:space="0" w:color="auto"/>
              <w:right w:val="single" w:sz="4" w:space="0" w:color="auto"/>
            </w:tcBorders>
            <w:shd w:val="clear" w:color="auto" w:fill="E6E6E6"/>
            <w:vAlign w:val="center"/>
          </w:tcPr>
          <w:p w:rsidR="00CC0EDE" w:rsidRDefault="00772E63">
            <w:pPr>
              <w:pStyle w:val="Title"/>
              <w:ind w:left="0"/>
              <w:jc w:val="right"/>
              <w:rPr>
                <w:b w:val="0"/>
                <w:bCs/>
                <w:i w:val="0"/>
              </w:rPr>
            </w:pPr>
            <w:r>
              <w:rPr>
                <w:b w:val="0"/>
                <w:bCs/>
                <w:i w:val="0"/>
              </w:rPr>
              <w:t>$218</w:t>
            </w:r>
          </w:p>
        </w:tc>
      </w:tr>
    </w:tbl>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u w:val="single"/>
        </w:rPr>
      </w:pPr>
      <w:r>
        <w:t>1.  Program Description</w:t>
      </w:r>
    </w:p>
    <w:p w:rsidR="00F92AE5" w:rsidRDefault="00F92AE5" w:rsidP="00F92AE5">
      <w:pPr>
        <w:pStyle w:val="xl19"/>
        <w:spacing w:before="0" w:after="0"/>
        <w:rPr>
          <w:rFonts w:eastAsia="Times New Roman" w:cs="Arial"/>
          <w:i/>
          <w:iCs/>
          <w:szCs w:val="24"/>
        </w:rPr>
      </w:pPr>
    </w:p>
    <w:p w:rsidR="00F92AE5" w:rsidRDefault="00F92AE5" w:rsidP="00F92AE5">
      <w:pPr>
        <w:rPr>
          <w:rFonts w:cs="Arial"/>
          <w:color w:val="000000"/>
        </w:rPr>
      </w:pPr>
      <w:r>
        <w:rPr>
          <w:color w:val="000000"/>
          <w:lang w:val="en-CA"/>
        </w:rPr>
        <w:t xml:space="preserve">The Commission has a single Decision Unit, and its mission is </w:t>
      </w:r>
      <w:r w:rsidR="00602A4A">
        <w:rPr>
          <w:color w:val="000000"/>
          <w:lang w:val="en-CA"/>
        </w:rPr>
        <w:fldChar w:fldCharType="begin"/>
      </w:r>
      <w:r>
        <w:rPr>
          <w:color w:val="000000"/>
          <w:lang w:val="en-CA"/>
        </w:rPr>
        <w:instrText xml:space="preserve"> SEQ CHAPTER \h \r 1</w:instrText>
      </w:r>
      <w:r w:rsidR="00602A4A">
        <w:rPr>
          <w:color w:val="000000"/>
          <w:lang w:val="en-CA"/>
        </w:rPr>
        <w:fldChar w:fldCharType="end"/>
      </w:r>
      <w:r>
        <w:rPr>
          <w:color w:val="000000"/>
          <w:lang w:val="en-CA"/>
        </w:rPr>
        <w:t>t</w:t>
      </w:r>
      <w:r>
        <w:rPr>
          <w:color w:val="000000"/>
        </w:rPr>
        <w:t xml:space="preserve">o protect the property rights of </w:t>
      </w:r>
      <w:smartTag w:uri="urn:schemas-microsoft-com:office:smarttags" w:element="country-region">
        <w:r>
          <w:rPr>
            <w:color w:val="000000"/>
          </w:rPr>
          <w:t>U.S.</w:t>
        </w:r>
      </w:smartTag>
      <w:r>
        <w:rPr>
          <w:color w:val="000000"/>
        </w:rPr>
        <w:t xml:space="preserve"> citizens abroad and to promote the international rule of law through adjudication of claims brought by </w:t>
      </w:r>
      <w:smartTag w:uri="urn:schemas-microsoft-com:office:smarttags" w:element="country-region">
        <w:smartTag w:uri="urn:schemas-microsoft-com:office:smarttags" w:element="place">
          <w:r>
            <w:rPr>
              <w:color w:val="000000"/>
            </w:rPr>
            <w:t>United States</w:t>
          </w:r>
        </w:smartTag>
      </w:smartTag>
      <w:r>
        <w:rPr>
          <w:color w:val="000000"/>
        </w:rPr>
        <w:t xml:space="preserve"> citizens against foreign governments.</w:t>
      </w:r>
    </w:p>
    <w:p w:rsidR="00F92AE5" w:rsidRDefault="00F92AE5" w:rsidP="00F92AE5">
      <w:pPr>
        <w:pStyle w:val="xl19"/>
        <w:spacing w:before="0" w:after="0"/>
        <w:rPr>
          <w:rFonts w:eastAsia="Times New Roman" w:cs="Arial"/>
          <w:i/>
          <w:iCs/>
          <w:color w:val="000000"/>
          <w:szCs w:val="24"/>
        </w:rPr>
      </w:pPr>
    </w:p>
    <w:p w:rsidR="00F92AE5" w:rsidRDefault="00F92AE5" w:rsidP="00F92AE5">
      <w:pPr>
        <w:pStyle w:val="xl19"/>
        <w:spacing w:before="0" w:after="0"/>
        <w:rPr>
          <w:rFonts w:eastAsia="Times New Roman" w:cs="Arial"/>
          <w:color w:val="000000"/>
          <w:szCs w:val="24"/>
        </w:rPr>
      </w:pPr>
      <w:r>
        <w:rPr>
          <w:rFonts w:eastAsia="Times New Roman" w:cs="Arial"/>
          <w:color w:val="000000"/>
          <w:szCs w:val="24"/>
        </w:rPr>
        <w:t>The Commission currently pursues the following organizational goals:</w:t>
      </w:r>
    </w:p>
    <w:p w:rsidR="00F92AE5" w:rsidRDefault="00F92AE5" w:rsidP="00F92AE5">
      <w:pPr>
        <w:pStyle w:val="xl19"/>
        <w:spacing w:before="0" w:after="0"/>
        <w:rPr>
          <w:rFonts w:eastAsia="Times New Roman" w:cs="Arial"/>
          <w:color w:val="000000"/>
          <w:szCs w:val="24"/>
        </w:rPr>
      </w:pPr>
    </w:p>
    <w:p w:rsidR="001E2787" w:rsidRDefault="001E2787" w:rsidP="001E2787">
      <w:pPr>
        <w:pStyle w:val="xl19"/>
        <w:numPr>
          <w:ilvl w:val="0"/>
          <w:numId w:val="34"/>
        </w:numPr>
        <w:spacing w:before="0" w:after="0"/>
        <w:rPr>
          <w:rFonts w:eastAsia="Times New Roman" w:cs="Arial"/>
          <w:color w:val="000000"/>
          <w:szCs w:val="24"/>
        </w:rPr>
      </w:pPr>
      <w:r>
        <w:rPr>
          <w:rFonts w:eastAsia="Times New Roman" w:cs="Arial"/>
          <w:color w:val="000000"/>
          <w:szCs w:val="24"/>
        </w:rPr>
        <w:t xml:space="preserve">To adjudicate claims and award compensation for terrorism-related claims against Iraq pursuant to the U.S.-Iraq Claims Settlement Agreement. </w:t>
      </w:r>
    </w:p>
    <w:p w:rsidR="00F92AE5" w:rsidRDefault="00F92AE5" w:rsidP="00F92AE5">
      <w:pPr>
        <w:pStyle w:val="xl19"/>
        <w:numPr>
          <w:ilvl w:val="0"/>
          <w:numId w:val="34"/>
        </w:numPr>
        <w:spacing w:before="0" w:after="0"/>
        <w:rPr>
          <w:rFonts w:eastAsia="Times New Roman" w:cs="Arial"/>
          <w:color w:val="000000"/>
          <w:szCs w:val="24"/>
        </w:rPr>
      </w:pPr>
      <w:r>
        <w:rPr>
          <w:rFonts w:eastAsia="Times New Roman" w:cs="Arial"/>
          <w:color w:val="000000"/>
          <w:szCs w:val="24"/>
        </w:rPr>
        <w:t xml:space="preserve">To adjudicate </w:t>
      </w:r>
      <w:r w:rsidR="001E2787">
        <w:rPr>
          <w:rFonts w:eastAsia="Times New Roman" w:cs="Arial"/>
          <w:color w:val="000000"/>
          <w:szCs w:val="24"/>
        </w:rPr>
        <w:t xml:space="preserve">any newly-referred </w:t>
      </w:r>
      <w:r>
        <w:rPr>
          <w:rFonts w:eastAsia="Times New Roman" w:cs="Arial"/>
          <w:color w:val="000000"/>
          <w:szCs w:val="24"/>
        </w:rPr>
        <w:t>claims and award compensation for terroris</w:t>
      </w:r>
      <w:r w:rsidR="0000763F">
        <w:rPr>
          <w:rFonts w:eastAsia="Times New Roman" w:cs="Arial"/>
          <w:color w:val="000000"/>
          <w:szCs w:val="24"/>
        </w:rPr>
        <w:t xml:space="preserve">m-related claims against Libya </w:t>
      </w:r>
      <w:r>
        <w:rPr>
          <w:rFonts w:eastAsia="Times New Roman" w:cs="Arial"/>
          <w:color w:val="000000"/>
          <w:szCs w:val="24"/>
        </w:rPr>
        <w:t xml:space="preserve">pursuant to the U.S.-Libya Claims Settlement Agreement and the Libyan Claims Resolution Act. </w:t>
      </w:r>
    </w:p>
    <w:p w:rsidR="00F92AE5" w:rsidRDefault="00F92AE5" w:rsidP="00F92AE5">
      <w:pPr>
        <w:numPr>
          <w:ilvl w:val="0"/>
          <w:numId w:val="35"/>
        </w:numPr>
        <w:rPr>
          <w:color w:val="000000"/>
        </w:rPr>
      </w:pPr>
      <w:r>
        <w:rPr>
          <w:color w:val="000000"/>
        </w:rPr>
        <w:t>To adjudicate claims and award compensation to previously uncompensated U.S. claimants for property losses in Albania.</w:t>
      </w:r>
    </w:p>
    <w:p w:rsidR="00F92AE5" w:rsidRDefault="00602A4A" w:rsidP="00F92AE5">
      <w:pPr>
        <w:numPr>
          <w:ilvl w:val="0"/>
          <w:numId w:val="35"/>
        </w:numPr>
        <w:rPr>
          <w:color w:val="000000"/>
        </w:rPr>
      </w:pPr>
      <w:r>
        <w:rPr>
          <w:color w:val="000000"/>
          <w:lang w:val="en-CA"/>
        </w:rPr>
        <w:fldChar w:fldCharType="begin"/>
      </w:r>
      <w:r w:rsidR="00F92AE5">
        <w:rPr>
          <w:color w:val="000000"/>
          <w:lang w:val="en-CA"/>
        </w:rPr>
        <w:instrText xml:space="preserve"> SEQ CHAPTER \h \r 1</w:instrText>
      </w:r>
      <w:r>
        <w:rPr>
          <w:color w:val="000000"/>
          <w:lang w:val="en-CA"/>
        </w:rPr>
        <w:fldChar w:fldCharType="end"/>
      </w:r>
      <w:r w:rsidR="00F92AE5">
        <w:rPr>
          <w:color w:val="000000"/>
        </w:rPr>
        <w:t xml:space="preserve">To research and respond to requests for information concerning decisions in the Commission’s first and second Cuban Claims Programs in aid of the Department of State’s continuing implementation of the Cuban Liberty and Democratic Solidarity (LIBERTAD) Act of 1996 (the “Helms-Burton Act”). </w:t>
      </w:r>
    </w:p>
    <w:p w:rsidR="00F92AE5" w:rsidRDefault="00F92AE5" w:rsidP="00F92AE5">
      <w:pPr>
        <w:numPr>
          <w:ilvl w:val="0"/>
          <w:numId w:val="35"/>
        </w:numPr>
        <w:rPr>
          <w:color w:val="000000"/>
        </w:rPr>
      </w:pPr>
      <w:r>
        <w:rPr>
          <w:color w:val="000000"/>
        </w:rPr>
        <w:t>To be</w:t>
      </w:r>
      <w:r w:rsidR="002358FE">
        <w:rPr>
          <w:color w:val="000000"/>
        </w:rPr>
        <w:t xml:space="preserve"> prepared to adjudicate</w:t>
      </w:r>
      <w:r>
        <w:rPr>
          <w:color w:val="000000"/>
        </w:rPr>
        <w:t xml:space="preserve"> upon enactme</w:t>
      </w:r>
      <w:r w:rsidR="00715E98">
        <w:rPr>
          <w:color w:val="000000"/>
        </w:rPr>
        <w:t>nt of authorizing legislation, or</w:t>
      </w:r>
      <w:r>
        <w:rPr>
          <w:color w:val="000000"/>
        </w:rPr>
        <w:t xml:space="preserve"> referral to the Commissi</w:t>
      </w:r>
      <w:r w:rsidR="002358FE">
        <w:rPr>
          <w:color w:val="000000"/>
        </w:rPr>
        <w:t>on by the Secretary of State</w:t>
      </w:r>
      <w:r w:rsidR="0008216F">
        <w:rPr>
          <w:color w:val="000000"/>
        </w:rPr>
        <w:t xml:space="preserve"> a</w:t>
      </w:r>
      <w:r>
        <w:rPr>
          <w:color w:val="000000"/>
        </w:rPr>
        <w:t xml:space="preserve"> future program relating to Guam.</w:t>
      </w:r>
    </w:p>
    <w:p w:rsidR="00F92AE5" w:rsidRDefault="00F92AE5" w:rsidP="00F92AE5">
      <w:pPr>
        <w:numPr>
          <w:ilvl w:val="0"/>
          <w:numId w:val="35"/>
        </w:numPr>
        <w:rPr>
          <w:color w:val="000000"/>
        </w:rPr>
      </w:pPr>
      <w:r>
        <w:rPr>
          <w:color w:val="000000"/>
        </w:rPr>
        <w:t>Upon request, to assist the Department of State in negotiations for the settlement of claims against foreign governments.</w:t>
      </w:r>
    </w:p>
    <w:p w:rsidR="00F92AE5" w:rsidRDefault="00F92AE5" w:rsidP="00F92AE5">
      <w:pPr>
        <w:numPr>
          <w:ilvl w:val="0"/>
          <w:numId w:val="35"/>
        </w:numPr>
        <w:rPr>
          <w:color w:val="000000"/>
        </w:rPr>
      </w:pPr>
      <w:r>
        <w:rPr>
          <w:color w:val="000000"/>
        </w:rPr>
        <w:t xml:space="preserve">To award compensation to any previously uncompensated American POWs held in Southeast Asia during the </w:t>
      </w:r>
      <w:smartTag w:uri="urn:schemas-microsoft-com:office:smarttags" w:element="country-region">
        <w:smartTag w:uri="urn:schemas-microsoft-com:office:smarttags" w:element="place">
          <w:r>
            <w:rPr>
              <w:color w:val="000000"/>
            </w:rPr>
            <w:t>Vietnam</w:t>
          </w:r>
        </w:smartTag>
      </w:smartTag>
      <w:r>
        <w:rPr>
          <w:color w:val="000000"/>
        </w:rPr>
        <w:t xml:space="preserve"> conflict, or their survivors, for inadequate rations and inhumane treatment while in captivity.</w:t>
      </w:r>
    </w:p>
    <w:p w:rsidR="00F92AE5" w:rsidRDefault="00F92AE5" w:rsidP="00F92AE5">
      <w:pPr>
        <w:numPr>
          <w:ilvl w:val="0"/>
          <w:numId w:val="35"/>
        </w:numPr>
        <w:rPr>
          <w:color w:val="000000"/>
        </w:rPr>
      </w:pPr>
      <w:r>
        <w:rPr>
          <w:color w:val="000000"/>
        </w:rPr>
        <w:t>To advise Congress and other agencies concerning potential future claims programs and to analyze and comment on pending legislation.</w:t>
      </w:r>
    </w:p>
    <w:p w:rsidR="00F92AE5" w:rsidRDefault="00F92AE5" w:rsidP="00F92AE5">
      <w:pPr>
        <w:numPr>
          <w:ilvl w:val="0"/>
          <w:numId w:val="35"/>
        </w:numPr>
        <w:rPr>
          <w:color w:val="000000"/>
        </w:rPr>
      </w:pPr>
      <w:r>
        <w:rPr>
          <w:color w:val="000000"/>
        </w:rPr>
        <w:t>To advise other agencies on policy determinations relating to the settlement of international claims.</w:t>
      </w:r>
    </w:p>
    <w:p w:rsidR="00F92AE5" w:rsidRDefault="00F92AE5" w:rsidP="00F92AE5">
      <w:pPr>
        <w:numPr>
          <w:ilvl w:val="0"/>
          <w:numId w:val="35"/>
        </w:numPr>
        <w:rPr>
          <w:color w:val="000000"/>
        </w:rPr>
      </w:pPr>
      <w:r>
        <w:rPr>
          <w:color w:val="000000"/>
        </w:rPr>
        <w:t>To assist the Department of the Treasury in making distributions on awards certified by the Commission.</w:t>
      </w:r>
    </w:p>
    <w:p w:rsidR="00F92AE5" w:rsidRDefault="00F92AE5" w:rsidP="00F92AE5">
      <w:pPr>
        <w:numPr>
          <w:ilvl w:val="0"/>
          <w:numId w:val="35"/>
        </w:numPr>
        <w:rPr>
          <w:color w:val="000000"/>
        </w:rPr>
      </w:pPr>
      <w:r>
        <w:rPr>
          <w:color w:val="000000"/>
        </w:rPr>
        <w:lastRenderedPageBreak/>
        <w:t>To provide executive departments and private attorneys with legal precedents issued by the Commission.</w:t>
      </w:r>
    </w:p>
    <w:p w:rsidR="00F92AE5" w:rsidRDefault="00F92AE5" w:rsidP="00F92AE5">
      <w:pPr>
        <w:numPr>
          <w:ilvl w:val="0"/>
          <w:numId w:val="35"/>
        </w:numPr>
        <w:rPr>
          <w:rFonts w:cs="Arial"/>
          <w:iCs/>
          <w:color w:val="000000"/>
        </w:rPr>
      </w:pPr>
      <w:r>
        <w:rPr>
          <w:color w:val="000000"/>
        </w:rPr>
        <w:t>To provide general information concerning past programs and to respond to requests about specific decisions the Commission has made on claims.</w:t>
      </w:r>
    </w:p>
    <w:p w:rsidR="00F92AE5" w:rsidRDefault="00F92AE5" w:rsidP="00F92AE5">
      <w:pPr>
        <w:numPr>
          <w:ilvl w:val="0"/>
          <w:numId w:val="35"/>
        </w:numPr>
        <w:rPr>
          <w:rFonts w:cs="Arial"/>
          <w:iCs/>
          <w:color w:val="000000"/>
        </w:rPr>
      </w:pPr>
      <w:r>
        <w:rPr>
          <w:color w:val="000000"/>
        </w:rPr>
        <w:t>To respond to FOIA requests from the public regarding claims programs.</w:t>
      </w:r>
    </w:p>
    <w:p w:rsidR="00F92AE5" w:rsidRDefault="00F92AE5" w:rsidP="00F92AE5">
      <w:pPr>
        <w:numPr>
          <w:ilvl w:val="0"/>
          <w:numId w:val="35"/>
        </w:numPr>
        <w:rPr>
          <w:rFonts w:cs="Arial"/>
          <w:iCs/>
        </w:rPr>
      </w:pPr>
      <w:r>
        <w:rPr>
          <w:color w:val="000000"/>
        </w:rPr>
        <w:t xml:space="preserve">To maintain and continuously update a comprehensive database of pending and active claims programs to ensure it is accurate and useful to the public and other </w:t>
      </w:r>
      <w:smartTag w:uri="urn:schemas-microsoft-com:office:smarttags" w:element="place">
        <w:smartTag w:uri="urn:schemas-microsoft-com:office:smarttags" w:element="country-region">
          <w:r>
            <w:rPr>
              <w:color w:val="000000"/>
            </w:rPr>
            <w:t>U.S.</w:t>
          </w:r>
        </w:smartTag>
      </w:smartTag>
      <w:r>
        <w:rPr>
          <w:color w:val="000000"/>
        </w:rPr>
        <w:t xml:space="preserve"> agencies.</w:t>
      </w:r>
    </w:p>
    <w:p w:rsidR="00F92AE5" w:rsidRDefault="00F92AE5" w:rsidP="00F92AE5">
      <w:pPr>
        <w:numPr>
          <w:ilvl w:val="0"/>
          <w:numId w:val="35"/>
        </w:numPr>
        <w:rPr>
          <w:b/>
          <w:bCs/>
        </w:rPr>
      </w:pPr>
      <w:r>
        <w:rPr>
          <w:rFonts w:cs="Arial"/>
          <w:iCs/>
        </w:rPr>
        <w:t xml:space="preserve">To maintain a Commission website that explains claims programs, with downloadable claims program instructions and claim forms as well as statistical and other information on past programs. </w:t>
      </w: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F92AE5" w:rsidRDefault="00F92AE5" w:rsidP="00F92AE5">
      <w:pPr>
        <w:pStyle w:val="BodyText"/>
        <w:rPr>
          <w:rFonts w:cs="Arial"/>
          <w:bCs/>
          <w:i/>
        </w:rPr>
      </w:pPr>
    </w:p>
    <w:p w:rsidR="003C124F" w:rsidRDefault="003C124F" w:rsidP="003C124F">
      <w:pPr>
        <w:pStyle w:val="xl27"/>
        <w:ind w:left="90"/>
        <w:rPr>
          <w:rFonts w:ascii="Times New Roman" w:eastAsia="Times New Roman" w:hAnsi="Times New Roman" w:cs="Arial"/>
          <w:b w:val="0"/>
          <w:i/>
          <w:iCs/>
          <w:szCs w:val="24"/>
        </w:rPr>
      </w:pPr>
    </w:p>
    <w:p w:rsidR="00CD3DE1" w:rsidRDefault="00CD3DE1" w:rsidP="003C124F">
      <w:pPr>
        <w:pStyle w:val="xl27"/>
        <w:ind w:left="90"/>
        <w:rPr>
          <w:rFonts w:ascii="Times New Roman" w:eastAsia="Times New Roman" w:hAnsi="Times New Roman" w:cs="Arial"/>
          <w:b w:val="0"/>
          <w:i/>
          <w:iCs/>
          <w:szCs w:val="24"/>
        </w:rPr>
      </w:pPr>
    </w:p>
    <w:p w:rsidR="00CD3DE1" w:rsidRDefault="00CD3DE1" w:rsidP="003C124F">
      <w:pPr>
        <w:pStyle w:val="xl27"/>
        <w:ind w:left="90"/>
        <w:rPr>
          <w:rFonts w:ascii="Times New Roman" w:eastAsia="Times New Roman" w:hAnsi="Times New Roman" w:cs="Arial"/>
          <w:b w:val="0"/>
          <w:i/>
          <w:iCs/>
          <w:szCs w:val="24"/>
        </w:rPr>
      </w:pPr>
    </w:p>
    <w:p w:rsidR="00CD3DE1" w:rsidRDefault="00CD3DE1" w:rsidP="003C124F">
      <w:pPr>
        <w:pStyle w:val="xl27"/>
        <w:ind w:left="90"/>
        <w:rPr>
          <w:rFonts w:ascii="Times New Roman" w:eastAsia="Times New Roman" w:hAnsi="Times New Roman" w:cs="Arial"/>
          <w:b w:val="0"/>
          <w:i/>
          <w:iCs/>
          <w:szCs w:val="24"/>
        </w:rPr>
      </w:pPr>
    </w:p>
    <w:p w:rsidR="00161547" w:rsidRDefault="00161547" w:rsidP="004B775C">
      <w:pPr>
        <w:pStyle w:val="BodyText"/>
        <w:rPr>
          <w:rFonts w:cs="Arial"/>
          <w:bCs/>
          <w:i/>
        </w:rPr>
      </w:pPr>
    </w:p>
    <w:p w:rsidR="005C388B" w:rsidRDefault="005C388B" w:rsidP="002623C3">
      <w:pPr>
        <w:tabs>
          <w:tab w:val="left" w:pos="1080"/>
          <w:tab w:val="left" w:pos="3600"/>
          <w:tab w:val="left" w:pos="5580"/>
        </w:tabs>
        <w:ind w:left="360"/>
        <w:rPr>
          <w:iCs/>
        </w:rPr>
        <w:sectPr w:rsidR="005C388B" w:rsidSect="00C7438F">
          <w:footerReference w:type="default" r:id="rId15"/>
          <w:pgSz w:w="12240" w:h="15840" w:code="1"/>
          <w:pgMar w:top="1152" w:right="1440" w:bottom="1152" w:left="1440" w:header="432" w:footer="432" w:gutter="0"/>
          <w:pgNumType w:start="1"/>
          <w:cols w:space="720"/>
          <w:docGrid w:linePitch="326"/>
        </w:sectPr>
      </w:pPr>
    </w:p>
    <w:p w:rsidR="00DE5644" w:rsidRPr="000A79ED" w:rsidRDefault="00DE5644" w:rsidP="000A79ED">
      <w:pPr>
        <w:pStyle w:val="ListParagraph"/>
        <w:numPr>
          <w:ilvl w:val="0"/>
          <w:numId w:val="38"/>
        </w:numPr>
        <w:tabs>
          <w:tab w:val="left" w:pos="1080"/>
          <w:tab w:val="left" w:pos="3600"/>
          <w:tab w:val="left" w:pos="5580"/>
        </w:tabs>
        <w:rPr>
          <w:iCs/>
        </w:rPr>
      </w:pPr>
      <w:r w:rsidRPr="000A79ED">
        <w:rPr>
          <w:iCs/>
        </w:rPr>
        <w:lastRenderedPageBreak/>
        <w:t>Performance and Resource Tables</w:t>
      </w:r>
      <w:r w:rsidRPr="000A79ED">
        <w:rPr>
          <w:iCs/>
        </w:rPr>
        <w:br/>
      </w:r>
    </w:p>
    <w:bookmarkStart w:id="2" w:name="_MON_1423309897"/>
    <w:bookmarkEnd w:id="2"/>
    <w:p w:rsidR="00DE5644" w:rsidRDefault="00C52E60" w:rsidP="00DE5644">
      <w:pPr>
        <w:rPr>
          <w:i/>
        </w:rPr>
      </w:pPr>
      <w:r>
        <w:rPr>
          <w:i/>
          <w:iCs/>
        </w:rPr>
        <w:object w:dxaOrig="12139" w:dyaOrig="8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8pt;height:420.45pt" o:ole="">
            <v:imagedata r:id="rId16" o:title=""/>
          </v:shape>
          <o:OLEObject Type="Embed" ProgID="Excel.Sheet.8" ShapeID="_x0000_i1025" DrawAspect="Content" ObjectID="_1425800248" r:id="rId17"/>
        </w:object>
      </w:r>
    </w:p>
    <w:p w:rsidR="004D76F7" w:rsidRPr="00161547" w:rsidRDefault="004D76F7" w:rsidP="004D76F7">
      <w:pPr>
        <w:tabs>
          <w:tab w:val="left" w:pos="1080"/>
          <w:tab w:val="left" w:pos="3600"/>
          <w:tab w:val="left" w:pos="5580"/>
        </w:tabs>
        <w:ind w:left="360"/>
        <w:rPr>
          <w:iCs/>
        </w:rPr>
      </w:pPr>
    </w:p>
    <w:p w:rsidR="005C388B" w:rsidRDefault="005C388B" w:rsidP="0026799E">
      <w:pPr>
        <w:rPr>
          <w:i/>
          <w:iCs/>
        </w:rPr>
      </w:pPr>
    </w:p>
    <w:p w:rsidR="006621EA" w:rsidRDefault="006621EA" w:rsidP="0026799E">
      <w:pPr>
        <w:rPr>
          <w:i/>
          <w:iCs/>
        </w:rPr>
      </w:pPr>
    </w:p>
    <w:p w:rsidR="005B4403" w:rsidRDefault="003A7CE0" w:rsidP="005B4403">
      <w:pPr>
        <w:tabs>
          <w:tab w:val="left" w:pos="13140"/>
        </w:tabs>
        <w:rPr>
          <w:sz w:val="16"/>
        </w:rPr>
      </w:pPr>
      <w:r>
        <w:object w:dxaOrig="9706" w:dyaOrig="5961">
          <v:shape id="_x0000_i1026" type="#_x0000_t75" style="width:485.3pt;height:297.9pt" o:ole="" o:bordertopcolor="this" o:borderleftcolor="this" o:borderbottomcolor="this" o:borderrightcolor="this">
            <v:imagedata r:id="rId18" o:title=""/>
            <w10:bordertop type="single" width="18"/>
            <w10:borderleft type="single" width="18"/>
            <w10:borderbottom type="single" width="18"/>
            <w10:borderright type="single" width="18"/>
          </v:shape>
          <o:OLEObject Type="Embed" ProgID="Excel.Sheet.8" ShapeID="_x0000_i1026" DrawAspect="Content" ObjectID="_1425800249" r:id="rId19"/>
        </w:object>
      </w:r>
    </w:p>
    <w:p w:rsidR="005B4403" w:rsidRDefault="005B4403" w:rsidP="005B4403">
      <w:pPr>
        <w:rPr>
          <w:sz w:val="16"/>
        </w:rPr>
      </w:pPr>
    </w:p>
    <w:p w:rsidR="006621EA" w:rsidRDefault="006621EA" w:rsidP="0026799E">
      <w:pPr>
        <w:rPr>
          <w:i/>
          <w:iCs/>
        </w:rPr>
      </w:pPr>
    </w:p>
    <w:p w:rsidR="00224A36" w:rsidRDefault="00224A36" w:rsidP="00520607">
      <w:pPr>
        <w:tabs>
          <w:tab w:val="left" w:pos="13140"/>
        </w:tabs>
        <w:jc w:val="center"/>
        <w:rPr>
          <w:sz w:val="16"/>
        </w:rPr>
      </w:pPr>
    </w:p>
    <w:p w:rsidR="00224A36" w:rsidRDefault="00224A36">
      <w:pPr>
        <w:rPr>
          <w:sz w:val="16"/>
        </w:rPr>
      </w:pPr>
    </w:p>
    <w:p w:rsidR="009136AE" w:rsidRDefault="009136AE">
      <w:pPr>
        <w:rPr>
          <w:sz w:val="16"/>
        </w:rPr>
        <w:sectPr w:rsidR="009136AE" w:rsidSect="004636CB">
          <w:pgSz w:w="15840" w:h="12240" w:orient="landscape" w:code="1"/>
          <w:pgMar w:top="1440" w:right="1152" w:bottom="1440" w:left="1152" w:header="432" w:footer="432" w:gutter="0"/>
          <w:cols w:space="720"/>
          <w:docGrid w:linePitch="326"/>
        </w:sectPr>
      </w:pPr>
    </w:p>
    <w:p w:rsidR="006813C7" w:rsidRDefault="006813C7" w:rsidP="006813C7">
      <w:pPr>
        <w:pStyle w:val="BodyText"/>
      </w:pPr>
      <w:r>
        <w:lastRenderedPageBreak/>
        <w:t>3.   Performance, Resources, and Strategies</w:t>
      </w:r>
    </w:p>
    <w:p w:rsidR="006813C7" w:rsidRDefault="006813C7" w:rsidP="006813C7">
      <w:pPr>
        <w:pStyle w:val="BodyText"/>
      </w:pPr>
    </w:p>
    <w:p w:rsidR="006813C7" w:rsidRDefault="006813C7" w:rsidP="006813C7">
      <w:pPr>
        <w:pStyle w:val="BodyText"/>
      </w:pPr>
      <w:r>
        <w:t>The Commission is an independent agency.  Its budget is fully integrated with its own priorities and corresponds best to the Department’s Strategic Goal 2:  Protect the Rights of the American People, and Enforce Federal Law.</w:t>
      </w:r>
    </w:p>
    <w:p w:rsidR="006813C7" w:rsidRDefault="006813C7" w:rsidP="006813C7">
      <w:pPr>
        <w:pStyle w:val="BodyText"/>
        <w:rPr>
          <w:i/>
        </w:rPr>
      </w:pPr>
      <w:r>
        <w:rPr>
          <w:i/>
          <w:iCs/>
        </w:rPr>
        <w:t xml:space="preserve"> </w:t>
      </w:r>
    </w:p>
    <w:p w:rsidR="006813C7" w:rsidRDefault="006813C7" w:rsidP="006813C7">
      <w:pPr>
        <w:pStyle w:val="BodyText"/>
        <w:numPr>
          <w:ilvl w:val="0"/>
          <w:numId w:val="36"/>
        </w:numPr>
        <w:rPr>
          <w:rFonts w:cs="Arial"/>
        </w:rPr>
      </w:pPr>
      <w:r>
        <w:rPr>
          <w:rFonts w:cs="Arial"/>
        </w:rPr>
        <w:t>Performance Plan and Report for Outcomes</w:t>
      </w:r>
    </w:p>
    <w:p w:rsidR="006813C7" w:rsidRDefault="006813C7" w:rsidP="006813C7">
      <w:pPr>
        <w:pStyle w:val="BodyText"/>
        <w:rPr>
          <w:rFonts w:cs="Arial"/>
        </w:rPr>
      </w:pPr>
    </w:p>
    <w:p w:rsidR="006813C7" w:rsidRDefault="006813C7" w:rsidP="006813C7">
      <w:pPr>
        <w:pStyle w:val="BodyText"/>
        <w:rPr>
          <w:rFonts w:cs="Arial"/>
        </w:rPr>
      </w:pPr>
      <w:r>
        <w:rPr>
          <w:rFonts w:cs="Arial"/>
        </w:rPr>
        <w:t>The Commission’s activities are not included in the Department of Justice’s performance plans or reports.  However, in addition to its principal function of adjudicating claims of United States nationals against foreign governments, the Commission provides continuing informational services to claimants (and, where applicable, their legal successors) with regard to the 45 completed international and war claims programs it has concluded.  It also provides advice to other Federal agencies on their policy determinations, preliminary planning, and evaluation of proposed legislation intended to authorize adjudication of claims of new categories of claimants, and liaison with congressional committees considering such legislation.</w:t>
      </w:r>
    </w:p>
    <w:p w:rsidR="006813C7" w:rsidRDefault="006813C7" w:rsidP="006813C7">
      <w:pPr>
        <w:pStyle w:val="BodyText"/>
        <w:rPr>
          <w:i/>
          <w:iCs/>
        </w:rPr>
      </w:pPr>
      <w:r>
        <w:rPr>
          <w:i/>
          <w:iCs/>
        </w:rPr>
        <w:t xml:space="preserve">  </w:t>
      </w:r>
    </w:p>
    <w:p w:rsidR="006813C7" w:rsidRDefault="006813C7" w:rsidP="006813C7">
      <w:pPr>
        <w:pStyle w:val="BodyText"/>
        <w:numPr>
          <w:ilvl w:val="0"/>
          <w:numId w:val="36"/>
        </w:numPr>
        <w:rPr>
          <w:rFonts w:cs="Arial"/>
        </w:rPr>
      </w:pPr>
      <w:r>
        <w:rPr>
          <w:rFonts w:cs="Arial"/>
        </w:rPr>
        <w:t>Strategies to Accomplish Outcomes</w:t>
      </w:r>
    </w:p>
    <w:p w:rsidR="006813C7" w:rsidRDefault="006813C7" w:rsidP="006813C7">
      <w:pPr>
        <w:pStyle w:val="BodyText"/>
        <w:rPr>
          <w:rFonts w:cs="Arial"/>
        </w:rPr>
      </w:pPr>
    </w:p>
    <w:p w:rsidR="006813C7" w:rsidRDefault="00384872" w:rsidP="006813C7">
      <w:pPr>
        <w:pStyle w:val="BodyText"/>
        <w:rPr>
          <w:rFonts w:cs="Arial"/>
        </w:rPr>
      </w:pPr>
      <w:r>
        <w:rPr>
          <w:rFonts w:cs="Arial"/>
        </w:rPr>
        <w:t xml:space="preserve">In </w:t>
      </w:r>
      <w:r w:rsidR="001E2787">
        <w:rPr>
          <w:rFonts w:cs="Arial"/>
        </w:rPr>
        <w:t>FY</w:t>
      </w:r>
      <w:r w:rsidR="00172F65">
        <w:rPr>
          <w:rFonts w:cs="Arial"/>
        </w:rPr>
        <w:t xml:space="preserve"> </w:t>
      </w:r>
      <w:r>
        <w:rPr>
          <w:rFonts w:cs="Arial"/>
        </w:rPr>
        <w:t>2014</w:t>
      </w:r>
      <w:r w:rsidR="006813C7">
        <w:rPr>
          <w:rFonts w:cs="Arial"/>
        </w:rPr>
        <w:t>, the Commission</w:t>
      </w:r>
      <w:r w:rsidR="00545ACD">
        <w:rPr>
          <w:rFonts w:cs="Arial"/>
        </w:rPr>
        <w:t xml:space="preserve"> plans to conclude its administration of the Libya Claims Program which resulted from the President’s Executive Order </w:t>
      </w:r>
      <w:r w:rsidR="006813C7">
        <w:rPr>
          <w:rFonts w:cs="Arial"/>
        </w:rPr>
        <w:t>13477 which implements the U.S.-</w:t>
      </w:r>
      <w:r w:rsidR="00545ACD">
        <w:rPr>
          <w:rFonts w:cs="Arial"/>
        </w:rPr>
        <w:t xml:space="preserve">Libya </w:t>
      </w:r>
      <w:r w:rsidR="006813C7">
        <w:rPr>
          <w:rFonts w:cs="Arial"/>
        </w:rPr>
        <w:t>Claims Settlement Agreement and the Libyan Claims</w:t>
      </w:r>
      <w:r w:rsidR="00545ACD">
        <w:rPr>
          <w:rFonts w:cs="Arial"/>
        </w:rPr>
        <w:t xml:space="preserve"> Resolution Act (LCRA).</w:t>
      </w:r>
    </w:p>
    <w:p w:rsidR="00816D75" w:rsidRDefault="00816D75" w:rsidP="006813C7">
      <w:pPr>
        <w:pStyle w:val="BodyText"/>
        <w:rPr>
          <w:rFonts w:cs="Arial"/>
        </w:rPr>
      </w:pPr>
    </w:p>
    <w:p w:rsidR="006813C7" w:rsidRDefault="00816D75" w:rsidP="006813C7">
      <w:pPr>
        <w:pStyle w:val="BodyText"/>
        <w:rPr>
          <w:rFonts w:cs="Arial"/>
        </w:rPr>
      </w:pPr>
      <w:r>
        <w:rPr>
          <w:rFonts w:cs="Arial"/>
        </w:rPr>
        <w:t xml:space="preserve">Additionally in </w:t>
      </w:r>
      <w:r w:rsidR="001E2787">
        <w:rPr>
          <w:rFonts w:cs="Arial"/>
        </w:rPr>
        <w:t>FY</w:t>
      </w:r>
      <w:r w:rsidR="00172F65">
        <w:rPr>
          <w:rFonts w:cs="Arial"/>
        </w:rPr>
        <w:t xml:space="preserve"> </w:t>
      </w:r>
      <w:r>
        <w:rPr>
          <w:rFonts w:cs="Arial"/>
        </w:rPr>
        <w:t xml:space="preserve">2014, the Commission </w:t>
      </w:r>
      <w:r w:rsidR="00413409">
        <w:rPr>
          <w:rFonts w:cs="Arial"/>
        </w:rPr>
        <w:t>anticipates that it will continue to a</w:t>
      </w:r>
      <w:r w:rsidR="00F11E1B">
        <w:rPr>
          <w:rFonts w:cs="Arial"/>
        </w:rPr>
        <w:t xml:space="preserve">djudicate categories of claims referred to it by the </w:t>
      </w:r>
      <w:r w:rsidR="00F11E1B" w:rsidRPr="00F11E1B">
        <w:rPr>
          <w:rFonts w:cs="Arial"/>
        </w:rPr>
        <w:t>Department of State within the scope of the Claims Settlement Agreement Between the Government of the United States of America and the Government of the Republic of Iraq, signed on September 2, 2010</w:t>
      </w:r>
      <w:r w:rsidR="00F11E1B">
        <w:rPr>
          <w:rFonts w:cs="Arial"/>
        </w:rPr>
        <w:t xml:space="preserve">, including claims for </w:t>
      </w:r>
      <w:r>
        <w:rPr>
          <w:rFonts w:cs="Arial"/>
        </w:rPr>
        <w:t>compensation for American nationals who were prisoners of war, hostages, or human shields during the first Gulf War, and for U.S. servicemen who were injured in the 1987 attack on the USS Stark</w:t>
      </w:r>
      <w:r w:rsidR="002D3A6E">
        <w:rPr>
          <w:rFonts w:cs="Arial"/>
        </w:rPr>
        <w:t>.</w:t>
      </w:r>
    </w:p>
    <w:p w:rsidR="00172F65" w:rsidRDefault="00172F65" w:rsidP="006813C7">
      <w:pPr>
        <w:pStyle w:val="BodyText"/>
        <w:rPr>
          <w:rFonts w:cs="Arial"/>
        </w:rPr>
      </w:pPr>
    </w:p>
    <w:p w:rsidR="006813C7" w:rsidRDefault="006813C7" w:rsidP="006813C7">
      <w:pPr>
        <w:pStyle w:val="BodyText"/>
        <w:rPr>
          <w:rFonts w:cs="Arial"/>
        </w:rPr>
      </w:pPr>
      <w:r>
        <w:rPr>
          <w:rFonts w:cs="Arial"/>
        </w:rPr>
        <w:t>Under the International Claims Settlement Act of l949, as amended, and the 1995 U.S.-Albanian</w:t>
      </w:r>
    </w:p>
    <w:p w:rsidR="006813C7" w:rsidRDefault="006813C7" w:rsidP="006813C7">
      <w:pPr>
        <w:pStyle w:val="BodyText"/>
        <w:rPr>
          <w:rFonts w:cs="Arial"/>
        </w:rPr>
      </w:pPr>
      <w:r>
        <w:rPr>
          <w:rFonts w:cs="Arial"/>
        </w:rPr>
        <w:t>Claims settlement agreement and the 2006 modification of that agreement, the Commission will</w:t>
      </w:r>
    </w:p>
    <w:p w:rsidR="006813C7" w:rsidRDefault="006813C7" w:rsidP="006813C7">
      <w:pPr>
        <w:pStyle w:val="BodyText"/>
        <w:rPr>
          <w:rFonts w:cs="Arial"/>
        </w:rPr>
      </w:pPr>
      <w:r>
        <w:rPr>
          <w:rFonts w:cs="Arial"/>
        </w:rPr>
        <w:t>continue to have authority to make awards in any additional claims against Albania that may be filed.</w:t>
      </w:r>
    </w:p>
    <w:p w:rsidR="006813C7" w:rsidRDefault="006813C7" w:rsidP="006813C7">
      <w:pPr>
        <w:pStyle w:val="BodyText"/>
        <w:rPr>
          <w:rFonts w:cs="Arial"/>
        </w:rPr>
      </w:pPr>
    </w:p>
    <w:p w:rsidR="006813C7" w:rsidRDefault="006813C7" w:rsidP="006813C7">
      <w:pPr>
        <w:pStyle w:val="BodyText"/>
        <w:rPr>
          <w:rFonts w:cs="Arial"/>
        </w:rPr>
      </w:pPr>
      <w:r>
        <w:rPr>
          <w:rFonts w:cs="Arial"/>
        </w:rPr>
        <w:t>The Commission will also research and respond to requests for information concerning properties expropriated by the Castro regime in Cuba, in support of the Department of State’s</w:t>
      </w:r>
    </w:p>
    <w:p w:rsidR="006813C7" w:rsidRDefault="006813C7" w:rsidP="006813C7">
      <w:pPr>
        <w:pStyle w:val="BodyText"/>
        <w:rPr>
          <w:rFonts w:cs="Arial"/>
        </w:rPr>
      </w:pPr>
      <w:r>
        <w:rPr>
          <w:rFonts w:cs="Arial"/>
        </w:rPr>
        <w:t>Continuing implementation of Title IV of the Cuban Liberty and Democratic Solidarity (LIBERTAD) Act of l996 (the “Helms-Burton Act”).  In addition, the Commission will continue to engage in preliminary planning for a possible future progr</w:t>
      </w:r>
      <w:r w:rsidR="00114BC8">
        <w:rPr>
          <w:rFonts w:cs="Arial"/>
        </w:rPr>
        <w:t>am relating to Guam.</w:t>
      </w:r>
      <w:bookmarkStart w:id="3" w:name="_GoBack"/>
      <w:bookmarkEnd w:id="3"/>
      <w:r>
        <w:rPr>
          <w:rFonts w:cs="Arial"/>
        </w:rPr>
        <w:t xml:space="preserve">  The Commission will also provide, upon request, technical assistance to the Department of State in conducting government-to-government claims settlement </w:t>
      </w:r>
    </w:p>
    <w:p w:rsidR="006813C7" w:rsidRDefault="006813C7" w:rsidP="006813C7">
      <w:pPr>
        <w:pStyle w:val="BodyText"/>
        <w:rPr>
          <w:rFonts w:cs="Arial"/>
        </w:rPr>
      </w:pPr>
      <w:r>
        <w:rPr>
          <w:rFonts w:cs="Arial"/>
        </w:rPr>
        <w:t>negotiations.</w:t>
      </w:r>
    </w:p>
    <w:p w:rsidR="006813C7" w:rsidRDefault="006813C7" w:rsidP="006813C7">
      <w:pPr>
        <w:pStyle w:val="BodyText"/>
        <w:rPr>
          <w:rFonts w:cs="Arial"/>
        </w:rPr>
      </w:pPr>
    </w:p>
    <w:p w:rsidR="006813C7" w:rsidRDefault="006813C7" w:rsidP="006813C7">
      <w:pPr>
        <w:pStyle w:val="BodyText"/>
        <w:rPr>
          <w:rFonts w:cs="Arial"/>
        </w:rPr>
      </w:pPr>
      <w:r>
        <w:rPr>
          <w:rFonts w:cs="Arial"/>
        </w:rPr>
        <w:t>Under the War Claims Act of 1948, as amended, the Commission will continue to have authority to award compensation to any previously uncompensated American servicemen held as prisoners of war in Southeast Asia during the Vietnam conflict, or their survivors, for inadequate rations and inhumane treatment while in captivity.</w:t>
      </w:r>
    </w:p>
    <w:p w:rsidR="006813C7" w:rsidRDefault="006813C7" w:rsidP="006813C7">
      <w:pPr>
        <w:pStyle w:val="Footer"/>
        <w:tabs>
          <w:tab w:val="clear" w:pos="8640"/>
          <w:tab w:val="left" w:leader="dot" w:pos="4320"/>
        </w:tabs>
        <w:rPr>
          <w:rFonts w:ascii="Times New Roman" w:hAnsi="Times New Roman"/>
          <w:b/>
          <w:sz w:val="28"/>
          <w:szCs w:val="28"/>
        </w:rPr>
      </w:pPr>
      <w:r>
        <w:rPr>
          <w:rFonts w:ascii="Times New Roman" w:hAnsi="Times New Roman"/>
          <w:b/>
          <w:sz w:val="28"/>
          <w:szCs w:val="28"/>
        </w:rPr>
        <w:lastRenderedPageBreak/>
        <w:t>VII.   EXHIBITS</w:t>
      </w:r>
    </w:p>
    <w:p w:rsidR="006813C7" w:rsidRDefault="006813C7" w:rsidP="006813C7"/>
    <w:p w:rsidR="006813C7" w:rsidRDefault="006813C7" w:rsidP="006813C7">
      <w:pPr>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FF4172" w:rsidRDefault="00FF4172">
      <w:pPr>
        <w:pStyle w:val="BodyText"/>
        <w:rPr>
          <w:i/>
          <w:iCs/>
        </w:rPr>
      </w:pPr>
    </w:p>
    <w:p w:rsidR="00FF4172" w:rsidRDefault="00FF4172">
      <w:pPr>
        <w:pStyle w:val="BodyText"/>
        <w:rPr>
          <w:i/>
          <w:iCs/>
        </w:rPr>
      </w:pPr>
    </w:p>
    <w:p w:rsidR="00FF4172" w:rsidRDefault="00FF4172">
      <w:pPr>
        <w:pStyle w:val="BodyText"/>
        <w:rPr>
          <w:i/>
          <w:iCs/>
        </w:rPr>
      </w:pPr>
    </w:p>
    <w:p w:rsidR="006E5C57" w:rsidRDefault="006E5C57">
      <w:pPr>
        <w:pStyle w:val="BodyText"/>
        <w:rPr>
          <w:i/>
          <w:iCs/>
        </w:rPr>
      </w:pPr>
    </w:p>
    <w:p w:rsidR="006E5C57" w:rsidRDefault="006E5C57">
      <w:pPr>
        <w:pStyle w:val="BodyText"/>
        <w:rPr>
          <w:i/>
          <w:iCs/>
        </w:rPr>
      </w:pPr>
    </w:p>
    <w:p w:rsidR="00FF4172" w:rsidRDefault="00FF4172">
      <w:pPr>
        <w:pStyle w:val="BodyText"/>
        <w:rPr>
          <w:i/>
          <w:iCs/>
        </w:rPr>
      </w:pPr>
    </w:p>
    <w:p w:rsidR="00FF4172" w:rsidRDefault="00FF4172">
      <w:pPr>
        <w:pStyle w:val="BodyText"/>
        <w:rPr>
          <w:i/>
          <w:iCs/>
        </w:rPr>
      </w:pPr>
    </w:p>
    <w:p w:rsidR="00FF4172" w:rsidRDefault="00FF4172">
      <w:pPr>
        <w:pStyle w:val="BodyText"/>
        <w:rPr>
          <w:i/>
          <w:iCs/>
        </w:rPr>
      </w:pPr>
    </w:p>
    <w:p w:rsidR="00994022" w:rsidRDefault="00994022">
      <w:pPr>
        <w:pStyle w:val="BodyText"/>
        <w:rPr>
          <w:i/>
          <w:iCs/>
        </w:rPr>
      </w:pPr>
    </w:p>
    <w:p w:rsidR="00994022" w:rsidRDefault="00994022">
      <w:pPr>
        <w:pStyle w:val="BodyText"/>
        <w:rPr>
          <w:i/>
          <w:iCs/>
        </w:rPr>
      </w:pPr>
    </w:p>
    <w:p w:rsidR="00994022" w:rsidRDefault="00994022">
      <w:pPr>
        <w:pStyle w:val="BodyText"/>
        <w:rPr>
          <w:i/>
          <w:iCs/>
        </w:rPr>
      </w:pPr>
    </w:p>
    <w:p w:rsidR="008F71C4" w:rsidRPr="00DC4C9F" w:rsidRDefault="008F71C4" w:rsidP="008F71C4">
      <w:pPr>
        <w:pStyle w:val="xl19"/>
        <w:spacing w:before="0" w:after="0"/>
        <w:rPr>
          <w:rFonts w:eastAsia="Times New Roman"/>
          <w:szCs w:val="24"/>
        </w:rPr>
      </w:pPr>
    </w:p>
    <w:p w:rsidR="008F71C4" w:rsidRPr="00DC4C9F" w:rsidRDefault="008F71C4" w:rsidP="008F71C4">
      <w:pPr>
        <w:pStyle w:val="Heading1"/>
        <w:rPr>
          <w:rFonts w:ascii="Times New Roman" w:hAnsi="Times New Roman"/>
          <w:bCs/>
        </w:rPr>
      </w:pPr>
    </w:p>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Pr="00DC4C9F" w:rsidRDefault="008F71C4" w:rsidP="008F71C4"/>
    <w:p w:rsidR="008F71C4" w:rsidRDefault="008F71C4" w:rsidP="008F71C4">
      <w:pPr>
        <w:rPr>
          <w:i/>
          <w:iCs/>
        </w:rPr>
      </w:pPr>
    </w:p>
    <w:p w:rsidR="008F71C4" w:rsidRDefault="008F71C4" w:rsidP="008F71C4">
      <w:pPr>
        <w:rPr>
          <w:i/>
          <w:iCs/>
        </w:rPr>
      </w:pPr>
    </w:p>
    <w:p w:rsidR="008F71C4" w:rsidRDefault="008F71C4" w:rsidP="008F71C4">
      <w:pPr>
        <w:pStyle w:val="BodyText"/>
      </w:pPr>
    </w:p>
    <w:p w:rsidR="000C42F5" w:rsidRDefault="000C42F5" w:rsidP="00B87D1D">
      <w:pPr>
        <w:pStyle w:val="BodyText"/>
        <w:rPr>
          <w:i/>
          <w:iCs/>
        </w:rPr>
      </w:pPr>
    </w:p>
    <w:sectPr w:rsidR="000C42F5" w:rsidSect="009136AE">
      <w:headerReference w:type="even" r:id="rId20"/>
      <w:headerReference w:type="default" r:id="rId21"/>
      <w:headerReference w:type="first" r:id="rId22"/>
      <w:pgSz w:w="12240" w:h="15840" w:code="1"/>
      <w:pgMar w:top="1152" w:right="1440" w:bottom="1152"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3A" w:rsidRDefault="004C5D3A">
      <w:r>
        <w:separator/>
      </w:r>
    </w:p>
  </w:endnote>
  <w:endnote w:type="continuationSeparator" w:id="0">
    <w:p w:rsidR="004C5D3A" w:rsidRDefault="004C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Pr="00EA7478" w:rsidRDefault="008D3455" w:rsidP="00EA74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8668"/>
      <w:docPartObj>
        <w:docPartGallery w:val="Page Numbers (Bottom of Page)"/>
        <w:docPartUnique/>
      </w:docPartObj>
    </w:sdtPr>
    <w:sdtEndPr/>
    <w:sdtContent>
      <w:p w:rsidR="008D3455" w:rsidRDefault="008D3455">
        <w:pPr>
          <w:pStyle w:val="Footer"/>
          <w:jc w:val="center"/>
        </w:pPr>
        <w:r>
          <w:fldChar w:fldCharType="begin"/>
        </w:r>
        <w:r>
          <w:instrText xml:space="preserve"> PAGE   \* MERGEFORMAT </w:instrText>
        </w:r>
        <w:r>
          <w:fldChar w:fldCharType="separate"/>
        </w:r>
        <w:r w:rsidR="00114BC8">
          <w:rPr>
            <w:noProof/>
          </w:rPr>
          <w:t>9</w:t>
        </w:r>
        <w:r>
          <w:rPr>
            <w:noProof/>
          </w:rPr>
          <w:fldChar w:fldCharType="end"/>
        </w:r>
      </w:p>
    </w:sdtContent>
  </w:sdt>
  <w:p w:rsidR="008D3455" w:rsidRPr="00EA7478" w:rsidRDefault="008D3455" w:rsidP="00EA7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3A" w:rsidRDefault="004C5D3A">
      <w:r>
        <w:separator/>
      </w:r>
    </w:p>
  </w:footnote>
  <w:footnote w:type="continuationSeparator" w:id="0">
    <w:p w:rsidR="004C5D3A" w:rsidRDefault="004C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5" w:rsidRDefault="008D3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D4AB2AA"/>
    <w:lvl w:ilvl="0">
      <w:numFmt w:val="bullet"/>
      <w:lvlText w:val="*"/>
      <w:lvlJc w:val="left"/>
    </w:lvl>
  </w:abstractNum>
  <w:abstractNum w:abstractNumId="2">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D0671F"/>
    <w:multiLevelType w:val="hybridMultilevel"/>
    <w:tmpl w:val="BA4680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3517BB9"/>
    <w:multiLevelType w:val="hybridMultilevel"/>
    <w:tmpl w:val="52D8AE20"/>
    <w:lvl w:ilvl="0" w:tplc="4C6E7134">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25723"/>
    <w:multiLevelType w:val="hybridMultilevel"/>
    <w:tmpl w:val="6BE6DAE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45B5E"/>
    <w:multiLevelType w:val="hybridMultilevel"/>
    <w:tmpl w:val="14484AB2"/>
    <w:lvl w:ilvl="0" w:tplc="0DA6DC1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16394D"/>
    <w:multiLevelType w:val="hybridMultilevel"/>
    <w:tmpl w:val="8222DF40"/>
    <w:lvl w:ilvl="0" w:tplc="866660D0">
      <w:start w:val="6"/>
      <w:numFmt w:val="upperLetter"/>
      <w:pStyle w:val="Heading4"/>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424BF3"/>
    <w:multiLevelType w:val="hybridMultilevel"/>
    <w:tmpl w:val="3A763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553307"/>
    <w:multiLevelType w:val="hybridMultilevel"/>
    <w:tmpl w:val="962ED146"/>
    <w:lvl w:ilvl="0" w:tplc="34EE0C78">
      <w:start w:val="1"/>
      <w:numFmt w:val="decimal"/>
      <w:lvlText w:val="%1."/>
      <w:lvlJc w:val="left"/>
      <w:pPr>
        <w:ind w:left="1080" w:hanging="360"/>
      </w:pPr>
      <w:rPr>
        <w:rFonts w:eastAsia="Arial Unicode M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2463E"/>
    <w:multiLevelType w:val="hybridMultilevel"/>
    <w:tmpl w:val="EE34CC46"/>
    <w:lvl w:ilvl="0" w:tplc="5BFC4E0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71516D"/>
    <w:multiLevelType w:val="hybridMultilevel"/>
    <w:tmpl w:val="06DC63F8"/>
    <w:lvl w:ilvl="0" w:tplc="42867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B5124"/>
    <w:multiLevelType w:val="hybridMultilevel"/>
    <w:tmpl w:val="09066C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9E3C58"/>
    <w:multiLevelType w:val="hybridMultilevel"/>
    <w:tmpl w:val="401A9C9E"/>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5A1131"/>
    <w:multiLevelType w:val="hybridMultilevel"/>
    <w:tmpl w:val="3A763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B06FF9"/>
    <w:multiLevelType w:val="hybridMultilevel"/>
    <w:tmpl w:val="B5FAD184"/>
    <w:lvl w:ilvl="0" w:tplc="7BD86D82">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6017B3"/>
    <w:multiLevelType w:val="singleLevel"/>
    <w:tmpl w:val="C164C488"/>
    <w:lvl w:ilvl="0">
      <w:start w:val="1"/>
      <w:numFmt w:val="decimal"/>
      <w:lvlText w:val="%1."/>
      <w:legacy w:legacy="1" w:legacySpace="0" w:legacyIndent="360"/>
      <w:lvlJc w:val="left"/>
      <w:rPr>
        <w:rFonts w:ascii="Times New Roman" w:hAnsi="Times New Roman" w:cs="Times New Roman" w:hint="default"/>
      </w:rPr>
    </w:lvl>
  </w:abstractNum>
  <w:abstractNum w:abstractNumId="18">
    <w:nsid w:val="405842DC"/>
    <w:multiLevelType w:val="hybridMultilevel"/>
    <w:tmpl w:val="8EF4A872"/>
    <w:lvl w:ilvl="0" w:tplc="EA9856AC">
      <w:start w:val="1"/>
      <w:numFmt w:val="upperLetter"/>
      <w:lvlText w:val="%1."/>
      <w:lvlJc w:val="left"/>
      <w:pPr>
        <w:ind w:left="6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883253"/>
    <w:multiLevelType w:val="hybridMultilevel"/>
    <w:tmpl w:val="89060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B570D1"/>
    <w:multiLevelType w:val="hybridMultilevel"/>
    <w:tmpl w:val="D5D01866"/>
    <w:lvl w:ilvl="0" w:tplc="C360EE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4F69FD"/>
    <w:multiLevelType w:val="hybridMultilevel"/>
    <w:tmpl w:val="B636A7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EF384E"/>
    <w:multiLevelType w:val="hybridMultilevel"/>
    <w:tmpl w:val="0C7404F8"/>
    <w:lvl w:ilvl="0" w:tplc="9384B4C8">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203F35"/>
    <w:multiLevelType w:val="hybridMultilevel"/>
    <w:tmpl w:val="0D32B6D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078628B"/>
    <w:multiLevelType w:val="hybridMultilevel"/>
    <w:tmpl w:val="AFA61E16"/>
    <w:lvl w:ilvl="0" w:tplc="42867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993998"/>
    <w:multiLevelType w:val="hybridMultilevel"/>
    <w:tmpl w:val="73B2086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99621A3"/>
    <w:multiLevelType w:val="hybridMultilevel"/>
    <w:tmpl w:val="319ECDC4"/>
    <w:lvl w:ilvl="0" w:tplc="42867C80">
      <w:start w:val="1"/>
      <w:numFmt w:val="upperRoman"/>
      <w:lvlText w:val="%1."/>
      <w:lvlJc w:val="left"/>
      <w:pPr>
        <w:tabs>
          <w:tab w:val="num" w:pos="1080"/>
        </w:tabs>
        <w:ind w:left="1080" w:hanging="720"/>
      </w:pPr>
      <w:rPr>
        <w:rFonts w:eastAsia="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652264"/>
    <w:multiLevelType w:val="hybridMultilevel"/>
    <w:tmpl w:val="F81273F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2813F6F"/>
    <w:multiLevelType w:val="hybridMultilevel"/>
    <w:tmpl w:val="7FE619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B6424DD"/>
    <w:multiLevelType w:val="hybridMultilevel"/>
    <w:tmpl w:val="B8C04148"/>
    <w:lvl w:ilvl="0" w:tplc="3C82CCAE">
      <w:start w:val="1"/>
      <w:numFmt w:val="lowerLetter"/>
      <w:lvlText w:val="%1."/>
      <w:lvlJc w:val="left"/>
      <w:pPr>
        <w:ind w:left="835" w:hanging="8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2480497"/>
    <w:multiLevelType w:val="hybridMultilevel"/>
    <w:tmpl w:val="AD7E6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906E47"/>
    <w:multiLevelType w:val="hybridMultilevel"/>
    <w:tmpl w:val="57942CA0"/>
    <w:lvl w:ilvl="0" w:tplc="C0A4C9CE">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423E21"/>
    <w:multiLevelType w:val="hybridMultilevel"/>
    <w:tmpl w:val="E35023A6"/>
    <w:lvl w:ilvl="0" w:tplc="E2C67FA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8"/>
  </w:num>
  <w:num w:numId="2">
    <w:abstractNumId w:val="8"/>
  </w:num>
  <w:num w:numId="3">
    <w:abstractNumId w:val="13"/>
  </w:num>
  <w:num w:numId="4">
    <w:abstractNumId w:val="2"/>
  </w:num>
  <w:num w:numId="5">
    <w:abstractNumId w:val="31"/>
  </w:num>
  <w:num w:numId="6">
    <w:abstractNumId w:val="6"/>
  </w:num>
  <w:num w:numId="7">
    <w:abstractNumId w:val="32"/>
  </w:num>
  <w:num w:numId="8">
    <w:abstractNumId w:val="24"/>
  </w:num>
  <w:num w:numId="9">
    <w:abstractNumId w:val="19"/>
  </w:num>
  <w:num w:numId="10">
    <w:abstractNumId w:val="12"/>
  </w:num>
  <w:num w:numId="11">
    <w:abstractNumId w:val="26"/>
  </w:num>
  <w:num w:numId="12">
    <w:abstractNumId w:val="22"/>
  </w:num>
  <w:num w:numId="13">
    <w:abstractNumId w:val="4"/>
  </w:num>
  <w:num w:numId="14">
    <w:abstractNumId w:val="16"/>
  </w:num>
  <w:num w:numId="15">
    <w:abstractNumId w:val="0"/>
  </w:num>
  <w:num w:numId="16">
    <w:abstractNumId w:val="20"/>
  </w:num>
  <w:num w:numId="17">
    <w:abstractNumId w:val="11"/>
  </w:num>
  <w:num w:numId="18">
    <w:abstractNumId w:val="1"/>
    <w:lvlOverride w:ilvl="0">
      <w:lvl w:ilvl="0">
        <w:numFmt w:val="bullet"/>
        <w:lvlText w:val=""/>
        <w:legacy w:legacy="1" w:legacySpace="0" w:legacyIndent="0"/>
        <w:lvlJc w:val="left"/>
        <w:rPr>
          <w:rFonts w:ascii="Symbol" w:hAnsi="Symbol" w:hint="default"/>
        </w:rPr>
      </w:lvl>
    </w:lvlOverride>
  </w:num>
  <w:num w:numId="19">
    <w:abstractNumId w:val="21"/>
  </w:num>
  <w:num w:numId="20">
    <w:abstractNumId w:val="27"/>
  </w:num>
  <w:num w:numId="21">
    <w:abstractNumId w:val="25"/>
  </w:num>
  <w:num w:numId="22">
    <w:abstractNumId w:val="29"/>
  </w:num>
  <w:num w:numId="23">
    <w:abstractNumId w:val="3"/>
  </w:num>
  <w:num w:numId="24">
    <w:abstractNumId w:val="17"/>
  </w:num>
  <w:num w:numId="25">
    <w:abstractNumId w:val="7"/>
  </w:num>
  <w:num w:numId="26">
    <w:abstractNumId w:val="14"/>
  </w:num>
  <w:num w:numId="27">
    <w:abstractNumId w:val="9"/>
  </w:num>
  <w:num w:numId="28">
    <w:abstractNumId w:val="1"/>
    <w:lvlOverride w:ilvl="0">
      <w:lvl w:ilvl="0">
        <w:numFmt w:val="bullet"/>
        <w:lvlText w:val=""/>
        <w:legacy w:legacy="1" w:legacySpace="0" w:legacyIndent="0"/>
        <w:lvlJc w:val="left"/>
        <w:pPr>
          <w:ind w:left="0" w:firstLine="0"/>
        </w:pPr>
        <w:rPr>
          <w:rFonts w:ascii="Symbol" w:hAnsi="Symbol" w:hint="default"/>
          <w:color w:val="auto"/>
          <w:sz w:val="24"/>
          <w:szCs w:val="24"/>
        </w:rPr>
      </w:lvl>
    </w:lvlOverride>
  </w:num>
  <w:num w:numId="29">
    <w:abstractNumId w:val="15"/>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7B"/>
    <w:rsid w:val="0000365E"/>
    <w:rsid w:val="00005EFD"/>
    <w:rsid w:val="00006EDF"/>
    <w:rsid w:val="0000763F"/>
    <w:rsid w:val="00011207"/>
    <w:rsid w:val="0001481B"/>
    <w:rsid w:val="00014F8E"/>
    <w:rsid w:val="000164DC"/>
    <w:rsid w:val="000203AA"/>
    <w:rsid w:val="000214F1"/>
    <w:rsid w:val="00023728"/>
    <w:rsid w:val="00025EF7"/>
    <w:rsid w:val="00026192"/>
    <w:rsid w:val="00030811"/>
    <w:rsid w:val="0003390B"/>
    <w:rsid w:val="0003430A"/>
    <w:rsid w:val="00034954"/>
    <w:rsid w:val="00042B3C"/>
    <w:rsid w:val="00044C68"/>
    <w:rsid w:val="00050E0C"/>
    <w:rsid w:val="00051D53"/>
    <w:rsid w:val="00053DBF"/>
    <w:rsid w:val="00053DD2"/>
    <w:rsid w:val="00054E33"/>
    <w:rsid w:val="00054F1F"/>
    <w:rsid w:val="000553F7"/>
    <w:rsid w:val="0005687F"/>
    <w:rsid w:val="00056F09"/>
    <w:rsid w:val="00060C7A"/>
    <w:rsid w:val="0006543F"/>
    <w:rsid w:val="0006689A"/>
    <w:rsid w:val="00067703"/>
    <w:rsid w:val="00070433"/>
    <w:rsid w:val="00073538"/>
    <w:rsid w:val="0007449E"/>
    <w:rsid w:val="000755B1"/>
    <w:rsid w:val="00076A4C"/>
    <w:rsid w:val="00080297"/>
    <w:rsid w:val="0008216F"/>
    <w:rsid w:val="00086EDF"/>
    <w:rsid w:val="000937A9"/>
    <w:rsid w:val="000A0803"/>
    <w:rsid w:val="000A1682"/>
    <w:rsid w:val="000A224F"/>
    <w:rsid w:val="000A3E86"/>
    <w:rsid w:val="000A40C2"/>
    <w:rsid w:val="000A565A"/>
    <w:rsid w:val="000A71A4"/>
    <w:rsid w:val="000A79ED"/>
    <w:rsid w:val="000C084A"/>
    <w:rsid w:val="000C1533"/>
    <w:rsid w:val="000C1FBF"/>
    <w:rsid w:val="000C3194"/>
    <w:rsid w:val="000C40C2"/>
    <w:rsid w:val="000C42F5"/>
    <w:rsid w:val="000C79E1"/>
    <w:rsid w:val="000D228D"/>
    <w:rsid w:val="000D2512"/>
    <w:rsid w:val="000D424F"/>
    <w:rsid w:val="000D4435"/>
    <w:rsid w:val="000D73EC"/>
    <w:rsid w:val="000D74C1"/>
    <w:rsid w:val="000E2AEC"/>
    <w:rsid w:val="000F15A2"/>
    <w:rsid w:val="000F2A30"/>
    <w:rsid w:val="000F321C"/>
    <w:rsid w:val="000F414D"/>
    <w:rsid w:val="000F5A92"/>
    <w:rsid w:val="000F5C92"/>
    <w:rsid w:val="000F7E92"/>
    <w:rsid w:val="001012AA"/>
    <w:rsid w:val="00102A86"/>
    <w:rsid w:val="00104C69"/>
    <w:rsid w:val="00105309"/>
    <w:rsid w:val="001071A0"/>
    <w:rsid w:val="0011146A"/>
    <w:rsid w:val="001116B5"/>
    <w:rsid w:val="001123BA"/>
    <w:rsid w:val="0011291B"/>
    <w:rsid w:val="00113A1D"/>
    <w:rsid w:val="00114BC8"/>
    <w:rsid w:val="00116809"/>
    <w:rsid w:val="0011787C"/>
    <w:rsid w:val="00126B7E"/>
    <w:rsid w:val="00132B0E"/>
    <w:rsid w:val="001347E9"/>
    <w:rsid w:val="001363C1"/>
    <w:rsid w:val="0014163B"/>
    <w:rsid w:val="00142988"/>
    <w:rsid w:val="001436CB"/>
    <w:rsid w:val="00146114"/>
    <w:rsid w:val="00150DAE"/>
    <w:rsid w:val="001526DA"/>
    <w:rsid w:val="0016008A"/>
    <w:rsid w:val="001608AB"/>
    <w:rsid w:val="00161168"/>
    <w:rsid w:val="001613C6"/>
    <w:rsid w:val="00161547"/>
    <w:rsid w:val="00163AD7"/>
    <w:rsid w:val="00164005"/>
    <w:rsid w:val="00165BD8"/>
    <w:rsid w:val="00171CDE"/>
    <w:rsid w:val="00172F65"/>
    <w:rsid w:val="00175569"/>
    <w:rsid w:val="00175674"/>
    <w:rsid w:val="00180538"/>
    <w:rsid w:val="00181487"/>
    <w:rsid w:val="00181E11"/>
    <w:rsid w:val="00184F7E"/>
    <w:rsid w:val="0019205E"/>
    <w:rsid w:val="00194E63"/>
    <w:rsid w:val="001A3012"/>
    <w:rsid w:val="001A54E7"/>
    <w:rsid w:val="001A6122"/>
    <w:rsid w:val="001B1FC5"/>
    <w:rsid w:val="001B2A05"/>
    <w:rsid w:val="001B2AFD"/>
    <w:rsid w:val="001B31B3"/>
    <w:rsid w:val="001B34EF"/>
    <w:rsid w:val="001B5D53"/>
    <w:rsid w:val="001B5DB4"/>
    <w:rsid w:val="001C0F82"/>
    <w:rsid w:val="001C2463"/>
    <w:rsid w:val="001C4C44"/>
    <w:rsid w:val="001C5138"/>
    <w:rsid w:val="001D0D9A"/>
    <w:rsid w:val="001D13BD"/>
    <w:rsid w:val="001D1825"/>
    <w:rsid w:val="001D42D9"/>
    <w:rsid w:val="001D66D5"/>
    <w:rsid w:val="001E2787"/>
    <w:rsid w:val="001E50AF"/>
    <w:rsid w:val="001E532B"/>
    <w:rsid w:val="001E6616"/>
    <w:rsid w:val="001E72A1"/>
    <w:rsid w:val="001F331A"/>
    <w:rsid w:val="001F3BCA"/>
    <w:rsid w:val="001F5BAC"/>
    <w:rsid w:val="002015E7"/>
    <w:rsid w:val="0020204D"/>
    <w:rsid w:val="00203CA3"/>
    <w:rsid w:val="00204DE8"/>
    <w:rsid w:val="002112F5"/>
    <w:rsid w:val="00217B3B"/>
    <w:rsid w:val="002218C8"/>
    <w:rsid w:val="00222AA8"/>
    <w:rsid w:val="00224A36"/>
    <w:rsid w:val="00230AD5"/>
    <w:rsid w:val="00230F8A"/>
    <w:rsid w:val="00231886"/>
    <w:rsid w:val="00232739"/>
    <w:rsid w:val="002358FE"/>
    <w:rsid w:val="00235B47"/>
    <w:rsid w:val="002371D6"/>
    <w:rsid w:val="00242306"/>
    <w:rsid w:val="00242E43"/>
    <w:rsid w:val="00244737"/>
    <w:rsid w:val="0024599A"/>
    <w:rsid w:val="00251A04"/>
    <w:rsid w:val="00253E93"/>
    <w:rsid w:val="00256741"/>
    <w:rsid w:val="002623C3"/>
    <w:rsid w:val="00262405"/>
    <w:rsid w:val="0026374C"/>
    <w:rsid w:val="00266B82"/>
    <w:rsid w:val="00266E91"/>
    <w:rsid w:val="0026799E"/>
    <w:rsid w:val="00270349"/>
    <w:rsid w:val="00271688"/>
    <w:rsid w:val="00272484"/>
    <w:rsid w:val="00282951"/>
    <w:rsid w:val="00287806"/>
    <w:rsid w:val="00292688"/>
    <w:rsid w:val="002930E6"/>
    <w:rsid w:val="00293AB3"/>
    <w:rsid w:val="00295130"/>
    <w:rsid w:val="002A19E0"/>
    <w:rsid w:val="002A33D5"/>
    <w:rsid w:val="002B2FAD"/>
    <w:rsid w:val="002B4426"/>
    <w:rsid w:val="002B6EFB"/>
    <w:rsid w:val="002B6F42"/>
    <w:rsid w:val="002B70A0"/>
    <w:rsid w:val="002C085A"/>
    <w:rsid w:val="002C5589"/>
    <w:rsid w:val="002C664A"/>
    <w:rsid w:val="002D3A6E"/>
    <w:rsid w:val="002E12B9"/>
    <w:rsid w:val="002E17AE"/>
    <w:rsid w:val="002E27B7"/>
    <w:rsid w:val="002E4AE7"/>
    <w:rsid w:val="002E594C"/>
    <w:rsid w:val="002E7DA9"/>
    <w:rsid w:val="002F12AF"/>
    <w:rsid w:val="002F6D16"/>
    <w:rsid w:val="002F6F98"/>
    <w:rsid w:val="00302546"/>
    <w:rsid w:val="00305761"/>
    <w:rsid w:val="00306000"/>
    <w:rsid w:val="00307695"/>
    <w:rsid w:val="00314ECA"/>
    <w:rsid w:val="00316F27"/>
    <w:rsid w:val="00317730"/>
    <w:rsid w:val="00323381"/>
    <w:rsid w:val="00323DF4"/>
    <w:rsid w:val="00324849"/>
    <w:rsid w:val="00326AC8"/>
    <w:rsid w:val="00330439"/>
    <w:rsid w:val="0033094F"/>
    <w:rsid w:val="00331024"/>
    <w:rsid w:val="00331052"/>
    <w:rsid w:val="00331BB9"/>
    <w:rsid w:val="003334FB"/>
    <w:rsid w:val="00336D06"/>
    <w:rsid w:val="00337579"/>
    <w:rsid w:val="003425B7"/>
    <w:rsid w:val="00345A4B"/>
    <w:rsid w:val="00346613"/>
    <w:rsid w:val="003578DC"/>
    <w:rsid w:val="0036043A"/>
    <w:rsid w:val="00360B53"/>
    <w:rsid w:val="003610F6"/>
    <w:rsid w:val="00361B39"/>
    <w:rsid w:val="00366CF3"/>
    <w:rsid w:val="00371BBF"/>
    <w:rsid w:val="00372C3E"/>
    <w:rsid w:val="003759FE"/>
    <w:rsid w:val="003760BE"/>
    <w:rsid w:val="00380F8D"/>
    <w:rsid w:val="003818E0"/>
    <w:rsid w:val="00383B00"/>
    <w:rsid w:val="00384872"/>
    <w:rsid w:val="0038674E"/>
    <w:rsid w:val="00387586"/>
    <w:rsid w:val="003934A3"/>
    <w:rsid w:val="003953B5"/>
    <w:rsid w:val="00395CC5"/>
    <w:rsid w:val="00395D66"/>
    <w:rsid w:val="00396366"/>
    <w:rsid w:val="003A1222"/>
    <w:rsid w:val="003A38EA"/>
    <w:rsid w:val="003A5390"/>
    <w:rsid w:val="003A7660"/>
    <w:rsid w:val="003A7922"/>
    <w:rsid w:val="003A7CE0"/>
    <w:rsid w:val="003B05E8"/>
    <w:rsid w:val="003B0CB9"/>
    <w:rsid w:val="003B165E"/>
    <w:rsid w:val="003B1A03"/>
    <w:rsid w:val="003B2E8C"/>
    <w:rsid w:val="003C11C4"/>
    <w:rsid w:val="003C124F"/>
    <w:rsid w:val="003D0667"/>
    <w:rsid w:val="003D0B97"/>
    <w:rsid w:val="003D0E7B"/>
    <w:rsid w:val="003D0FEA"/>
    <w:rsid w:val="003D2773"/>
    <w:rsid w:val="003D3E88"/>
    <w:rsid w:val="003D451F"/>
    <w:rsid w:val="003E08AD"/>
    <w:rsid w:val="003E0DB9"/>
    <w:rsid w:val="003E0E22"/>
    <w:rsid w:val="003E5664"/>
    <w:rsid w:val="003E615F"/>
    <w:rsid w:val="003E746C"/>
    <w:rsid w:val="003F2498"/>
    <w:rsid w:val="00400AC4"/>
    <w:rsid w:val="00400C58"/>
    <w:rsid w:val="00402BDA"/>
    <w:rsid w:val="00410749"/>
    <w:rsid w:val="00412539"/>
    <w:rsid w:val="00413409"/>
    <w:rsid w:val="00413D62"/>
    <w:rsid w:val="004168F0"/>
    <w:rsid w:val="00417846"/>
    <w:rsid w:val="00426797"/>
    <w:rsid w:val="00427F7F"/>
    <w:rsid w:val="00431903"/>
    <w:rsid w:val="00433BB2"/>
    <w:rsid w:val="004365F4"/>
    <w:rsid w:val="004366EC"/>
    <w:rsid w:val="00436703"/>
    <w:rsid w:val="00436958"/>
    <w:rsid w:val="00437BA4"/>
    <w:rsid w:val="004409B8"/>
    <w:rsid w:val="00442363"/>
    <w:rsid w:val="00446A90"/>
    <w:rsid w:val="0044714E"/>
    <w:rsid w:val="0045256C"/>
    <w:rsid w:val="0045306B"/>
    <w:rsid w:val="00457FD6"/>
    <w:rsid w:val="004603C0"/>
    <w:rsid w:val="00461E17"/>
    <w:rsid w:val="004636CB"/>
    <w:rsid w:val="00466752"/>
    <w:rsid w:val="0047187B"/>
    <w:rsid w:val="004724B4"/>
    <w:rsid w:val="004739E3"/>
    <w:rsid w:val="004753FC"/>
    <w:rsid w:val="0048075E"/>
    <w:rsid w:val="00487EFA"/>
    <w:rsid w:val="004918D1"/>
    <w:rsid w:val="00493966"/>
    <w:rsid w:val="00494B65"/>
    <w:rsid w:val="004952A7"/>
    <w:rsid w:val="004973D2"/>
    <w:rsid w:val="004A0FF7"/>
    <w:rsid w:val="004A707A"/>
    <w:rsid w:val="004B1656"/>
    <w:rsid w:val="004B23A6"/>
    <w:rsid w:val="004B54BA"/>
    <w:rsid w:val="004B698D"/>
    <w:rsid w:val="004B775C"/>
    <w:rsid w:val="004C078B"/>
    <w:rsid w:val="004C1AF6"/>
    <w:rsid w:val="004C2FBB"/>
    <w:rsid w:val="004C581E"/>
    <w:rsid w:val="004C5D3A"/>
    <w:rsid w:val="004D1D69"/>
    <w:rsid w:val="004D3124"/>
    <w:rsid w:val="004D76F7"/>
    <w:rsid w:val="004E48F4"/>
    <w:rsid w:val="004F263A"/>
    <w:rsid w:val="004F641A"/>
    <w:rsid w:val="004F7D52"/>
    <w:rsid w:val="005040A7"/>
    <w:rsid w:val="00505030"/>
    <w:rsid w:val="00507DEF"/>
    <w:rsid w:val="00510162"/>
    <w:rsid w:val="00510F7E"/>
    <w:rsid w:val="00511AD2"/>
    <w:rsid w:val="00511FC8"/>
    <w:rsid w:val="00515ADA"/>
    <w:rsid w:val="00520607"/>
    <w:rsid w:val="00527526"/>
    <w:rsid w:val="00533085"/>
    <w:rsid w:val="0053315A"/>
    <w:rsid w:val="005360B6"/>
    <w:rsid w:val="00540A7B"/>
    <w:rsid w:val="00540F18"/>
    <w:rsid w:val="00542D77"/>
    <w:rsid w:val="00545ACD"/>
    <w:rsid w:val="00546185"/>
    <w:rsid w:val="00546DF7"/>
    <w:rsid w:val="00547FE3"/>
    <w:rsid w:val="005552FF"/>
    <w:rsid w:val="00555DF0"/>
    <w:rsid w:val="00560516"/>
    <w:rsid w:val="005632D9"/>
    <w:rsid w:val="005647DA"/>
    <w:rsid w:val="00566F63"/>
    <w:rsid w:val="00566F71"/>
    <w:rsid w:val="0056748D"/>
    <w:rsid w:val="005676C8"/>
    <w:rsid w:val="005718C7"/>
    <w:rsid w:val="005730E5"/>
    <w:rsid w:val="00574941"/>
    <w:rsid w:val="005757F6"/>
    <w:rsid w:val="00581610"/>
    <w:rsid w:val="00582BB7"/>
    <w:rsid w:val="00584C3E"/>
    <w:rsid w:val="0059020B"/>
    <w:rsid w:val="005913FF"/>
    <w:rsid w:val="005914FD"/>
    <w:rsid w:val="00592F15"/>
    <w:rsid w:val="00593CBE"/>
    <w:rsid w:val="005955E2"/>
    <w:rsid w:val="005A1919"/>
    <w:rsid w:val="005A28DC"/>
    <w:rsid w:val="005B391D"/>
    <w:rsid w:val="005B4403"/>
    <w:rsid w:val="005B4F15"/>
    <w:rsid w:val="005B6BB2"/>
    <w:rsid w:val="005C0B24"/>
    <w:rsid w:val="005C16EA"/>
    <w:rsid w:val="005C1702"/>
    <w:rsid w:val="005C1780"/>
    <w:rsid w:val="005C21DC"/>
    <w:rsid w:val="005C37D9"/>
    <w:rsid w:val="005C388B"/>
    <w:rsid w:val="005C624C"/>
    <w:rsid w:val="005D14B4"/>
    <w:rsid w:val="005D1D6B"/>
    <w:rsid w:val="005D2FF1"/>
    <w:rsid w:val="005D39D7"/>
    <w:rsid w:val="005E018C"/>
    <w:rsid w:val="005E122C"/>
    <w:rsid w:val="005F0119"/>
    <w:rsid w:val="005F06B9"/>
    <w:rsid w:val="005F0FB5"/>
    <w:rsid w:val="005F2F1A"/>
    <w:rsid w:val="005F37CD"/>
    <w:rsid w:val="005F48E6"/>
    <w:rsid w:val="005F7587"/>
    <w:rsid w:val="00601A72"/>
    <w:rsid w:val="00602A4A"/>
    <w:rsid w:val="006039C5"/>
    <w:rsid w:val="00604A97"/>
    <w:rsid w:val="006058EE"/>
    <w:rsid w:val="0060736C"/>
    <w:rsid w:val="0061073A"/>
    <w:rsid w:val="00611931"/>
    <w:rsid w:val="00611E26"/>
    <w:rsid w:val="00612476"/>
    <w:rsid w:val="00613119"/>
    <w:rsid w:val="006153BA"/>
    <w:rsid w:val="00615A4D"/>
    <w:rsid w:val="00617017"/>
    <w:rsid w:val="0063149D"/>
    <w:rsid w:val="0063361D"/>
    <w:rsid w:val="006364D4"/>
    <w:rsid w:val="006366E2"/>
    <w:rsid w:val="00637F58"/>
    <w:rsid w:val="0064001D"/>
    <w:rsid w:val="006425DA"/>
    <w:rsid w:val="00643E6B"/>
    <w:rsid w:val="00652CD4"/>
    <w:rsid w:val="00660989"/>
    <w:rsid w:val="006621EA"/>
    <w:rsid w:val="006629F4"/>
    <w:rsid w:val="0066304C"/>
    <w:rsid w:val="00663D4C"/>
    <w:rsid w:val="00670138"/>
    <w:rsid w:val="00670357"/>
    <w:rsid w:val="00672BFB"/>
    <w:rsid w:val="006748FC"/>
    <w:rsid w:val="006751EA"/>
    <w:rsid w:val="00675254"/>
    <w:rsid w:val="006775E6"/>
    <w:rsid w:val="00677DC2"/>
    <w:rsid w:val="006813C7"/>
    <w:rsid w:val="00681570"/>
    <w:rsid w:val="00682A53"/>
    <w:rsid w:val="006906DE"/>
    <w:rsid w:val="0069364A"/>
    <w:rsid w:val="00693F48"/>
    <w:rsid w:val="00695EDC"/>
    <w:rsid w:val="00696784"/>
    <w:rsid w:val="006A152C"/>
    <w:rsid w:val="006A29E1"/>
    <w:rsid w:val="006A2FE8"/>
    <w:rsid w:val="006A30E2"/>
    <w:rsid w:val="006A379C"/>
    <w:rsid w:val="006A4FF6"/>
    <w:rsid w:val="006A58E7"/>
    <w:rsid w:val="006B1E46"/>
    <w:rsid w:val="006B4CA9"/>
    <w:rsid w:val="006C1CE0"/>
    <w:rsid w:val="006C4868"/>
    <w:rsid w:val="006C689E"/>
    <w:rsid w:val="006D4CAF"/>
    <w:rsid w:val="006D4EFC"/>
    <w:rsid w:val="006E00F4"/>
    <w:rsid w:val="006E01E3"/>
    <w:rsid w:val="006E212C"/>
    <w:rsid w:val="006E3B4B"/>
    <w:rsid w:val="006E4CC0"/>
    <w:rsid w:val="006E5C57"/>
    <w:rsid w:val="006E6513"/>
    <w:rsid w:val="006F1475"/>
    <w:rsid w:val="006F254F"/>
    <w:rsid w:val="006F2773"/>
    <w:rsid w:val="006F3D67"/>
    <w:rsid w:val="006F53CB"/>
    <w:rsid w:val="00704FB3"/>
    <w:rsid w:val="007055B6"/>
    <w:rsid w:val="00705837"/>
    <w:rsid w:val="00710A68"/>
    <w:rsid w:val="007135E0"/>
    <w:rsid w:val="007139B4"/>
    <w:rsid w:val="00713F17"/>
    <w:rsid w:val="00715480"/>
    <w:rsid w:val="00715E98"/>
    <w:rsid w:val="00717C75"/>
    <w:rsid w:val="00717DAE"/>
    <w:rsid w:val="00717ECC"/>
    <w:rsid w:val="00721135"/>
    <w:rsid w:val="00721A17"/>
    <w:rsid w:val="007234E3"/>
    <w:rsid w:val="00723782"/>
    <w:rsid w:val="0073201D"/>
    <w:rsid w:val="00734CE0"/>
    <w:rsid w:val="00736FFF"/>
    <w:rsid w:val="007371B8"/>
    <w:rsid w:val="00740FB3"/>
    <w:rsid w:val="007461F7"/>
    <w:rsid w:val="0074768F"/>
    <w:rsid w:val="00754EC3"/>
    <w:rsid w:val="00756388"/>
    <w:rsid w:val="00760480"/>
    <w:rsid w:val="00764C71"/>
    <w:rsid w:val="0076666E"/>
    <w:rsid w:val="007671F5"/>
    <w:rsid w:val="00771421"/>
    <w:rsid w:val="00772E63"/>
    <w:rsid w:val="007732CC"/>
    <w:rsid w:val="007734F8"/>
    <w:rsid w:val="00774848"/>
    <w:rsid w:val="007749AA"/>
    <w:rsid w:val="00776054"/>
    <w:rsid w:val="00781EFA"/>
    <w:rsid w:val="0078303E"/>
    <w:rsid w:val="00783408"/>
    <w:rsid w:val="007876CB"/>
    <w:rsid w:val="007918BF"/>
    <w:rsid w:val="00792186"/>
    <w:rsid w:val="00792421"/>
    <w:rsid w:val="007975E7"/>
    <w:rsid w:val="007979FE"/>
    <w:rsid w:val="007A2829"/>
    <w:rsid w:val="007A3F28"/>
    <w:rsid w:val="007A44B0"/>
    <w:rsid w:val="007A542B"/>
    <w:rsid w:val="007A688C"/>
    <w:rsid w:val="007B0CF3"/>
    <w:rsid w:val="007B13D4"/>
    <w:rsid w:val="007B3004"/>
    <w:rsid w:val="007B3426"/>
    <w:rsid w:val="007B406F"/>
    <w:rsid w:val="007B55EE"/>
    <w:rsid w:val="007B6252"/>
    <w:rsid w:val="007B6B33"/>
    <w:rsid w:val="007B6E98"/>
    <w:rsid w:val="007C0D16"/>
    <w:rsid w:val="007C238C"/>
    <w:rsid w:val="007C4781"/>
    <w:rsid w:val="007C570E"/>
    <w:rsid w:val="007D12F5"/>
    <w:rsid w:val="007D230C"/>
    <w:rsid w:val="007D48F9"/>
    <w:rsid w:val="007E23AD"/>
    <w:rsid w:val="007E5468"/>
    <w:rsid w:val="007E613C"/>
    <w:rsid w:val="007F22A9"/>
    <w:rsid w:val="007F3ADB"/>
    <w:rsid w:val="007F45A2"/>
    <w:rsid w:val="007F4D5D"/>
    <w:rsid w:val="007F6312"/>
    <w:rsid w:val="008018E4"/>
    <w:rsid w:val="008021AD"/>
    <w:rsid w:val="008033D7"/>
    <w:rsid w:val="0080403C"/>
    <w:rsid w:val="008043D0"/>
    <w:rsid w:val="008045F1"/>
    <w:rsid w:val="00806020"/>
    <w:rsid w:val="00806D92"/>
    <w:rsid w:val="00813D86"/>
    <w:rsid w:val="00815081"/>
    <w:rsid w:val="00816635"/>
    <w:rsid w:val="00816D75"/>
    <w:rsid w:val="0082475E"/>
    <w:rsid w:val="00834036"/>
    <w:rsid w:val="00835472"/>
    <w:rsid w:val="00836002"/>
    <w:rsid w:val="0084110B"/>
    <w:rsid w:val="008451EF"/>
    <w:rsid w:val="00846251"/>
    <w:rsid w:val="00851836"/>
    <w:rsid w:val="008530DA"/>
    <w:rsid w:val="00854857"/>
    <w:rsid w:val="008557F1"/>
    <w:rsid w:val="0086381F"/>
    <w:rsid w:val="00864C63"/>
    <w:rsid w:val="008655F6"/>
    <w:rsid w:val="00866F5B"/>
    <w:rsid w:val="00867164"/>
    <w:rsid w:val="0087565C"/>
    <w:rsid w:val="00875A38"/>
    <w:rsid w:val="00880581"/>
    <w:rsid w:val="00880D32"/>
    <w:rsid w:val="0088138A"/>
    <w:rsid w:val="00881702"/>
    <w:rsid w:val="00881D1D"/>
    <w:rsid w:val="00882397"/>
    <w:rsid w:val="00890A9F"/>
    <w:rsid w:val="00890DB6"/>
    <w:rsid w:val="008959A5"/>
    <w:rsid w:val="00897522"/>
    <w:rsid w:val="0089771B"/>
    <w:rsid w:val="008A0516"/>
    <w:rsid w:val="008A14E2"/>
    <w:rsid w:val="008A2799"/>
    <w:rsid w:val="008B256E"/>
    <w:rsid w:val="008B295B"/>
    <w:rsid w:val="008B378E"/>
    <w:rsid w:val="008B3EC5"/>
    <w:rsid w:val="008B4DB2"/>
    <w:rsid w:val="008B672C"/>
    <w:rsid w:val="008B73AA"/>
    <w:rsid w:val="008C043E"/>
    <w:rsid w:val="008C0946"/>
    <w:rsid w:val="008C4C9E"/>
    <w:rsid w:val="008D0C2A"/>
    <w:rsid w:val="008D27AC"/>
    <w:rsid w:val="008D3455"/>
    <w:rsid w:val="008D46B7"/>
    <w:rsid w:val="008D59F9"/>
    <w:rsid w:val="008D6134"/>
    <w:rsid w:val="008D6A4B"/>
    <w:rsid w:val="008E2B1C"/>
    <w:rsid w:val="008F0F4B"/>
    <w:rsid w:val="008F460B"/>
    <w:rsid w:val="008F5966"/>
    <w:rsid w:val="008F6756"/>
    <w:rsid w:val="008F71C4"/>
    <w:rsid w:val="008F7449"/>
    <w:rsid w:val="008F7450"/>
    <w:rsid w:val="00900E20"/>
    <w:rsid w:val="009017AA"/>
    <w:rsid w:val="00904B48"/>
    <w:rsid w:val="00906DF9"/>
    <w:rsid w:val="00910CDC"/>
    <w:rsid w:val="009115A6"/>
    <w:rsid w:val="009136AE"/>
    <w:rsid w:val="009147A6"/>
    <w:rsid w:val="009205D5"/>
    <w:rsid w:val="00925A5F"/>
    <w:rsid w:val="00925CD7"/>
    <w:rsid w:val="0093076A"/>
    <w:rsid w:val="00930DD2"/>
    <w:rsid w:val="00934D0C"/>
    <w:rsid w:val="00944269"/>
    <w:rsid w:val="009445F2"/>
    <w:rsid w:val="009504ED"/>
    <w:rsid w:val="00950ADA"/>
    <w:rsid w:val="009544F6"/>
    <w:rsid w:val="0095733D"/>
    <w:rsid w:val="00962547"/>
    <w:rsid w:val="00967760"/>
    <w:rsid w:val="00971703"/>
    <w:rsid w:val="0097259E"/>
    <w:rsid w:val="009741C7"/>
    <w:rsid w:val="009776DA"/>
    <w:rsid w:val="00982480"/>
    <w:rsid w:val="009842DA"/>
    <w:rsid w:val="00984836"/>
    <w:rsid w:val="00984AD4"/>
    <w:rsid w:val="00993556"/>
    <w:rsid w:val="0099399E"/>
    <w:rsid w:val="00994022"/>
    <w:rsid w:val="009A0E76"/>
    <w:rsid w:val="009A25D8"/>
    <w:rsid w:val="009A36AC"/>
    <w:rsid w:val="009A3D04"/>
    <w:rsid w:val="009A4734"/>
    <w:rsid w:val="009A710D"/>
    <w:rsid w:val="009A72A6"/>
    <w:rsid w:val="009B20DE"/>
    <w:rsid w:val="009B257E"/>
    <w:rsid w:val="009B744E"/>
    <w:rsid w:val="009C031F"/>
    <w:rsid w:val="009C0463"/>
    <w:rsid w:val="009C62D0"/>
    <w:rsid w:val="009C6CE3"/>
    <w:rsid w:val="009C7A02"/>
    <w:rsid w:val="009D3E43"/>
    <w:rsid w:val="009D5D6F"/>
    <w:rsid w:val="009E0965"/>
    <w:rsid w:val="009E0FEA"/>
    <w:rsid w:val="009E12C8"/>
    <w:rsid w:val="009E164D"/>
    <w:rsid w:val="009E6E14"/>
    <w:rsid w:val="009F000E"/>
    <w:rsid w:val="009F0B96"/>
    <w:rsid w:val="009F5F9D"/>
    <w:rsid w:val="009F6B30"/>
    <w:rsid w:val="00A02026"/>
    <w:rsid w:val="00A06230"/>
    <w:rsid w:val="00A0692E"/>
    <w:rsid w:val="00A13AA0"/>
    <w:rsid w:val="00A17DA7"/>
    <w:rsid w:val="00A20E8E"/>
    <w:rsid w:val="00A25111"/>
    <w:rsid w:val="00A25AA4"/>
    <w:rsid w:val="00A25C65"/>
    <w:rsid w:val="00A274D8"/>
    <w:rsid w:val="00A419B0"/>
    <w:rsid w:val="00A542D4"/>
    <w:rsid w:val="00A55F6D"/>
    <w:rsid w:val="00A56B6E"/>
    <w:rsid w:val="00A602A3"/>
    <w:rsid w:val="00A6112B"/>
    <w:rsid w:val="00A62C56"/>
    <w:rsid w:val="00A67E3F"/>
    <w:rsid w:val="00A733D6"/>
    <w:rsid w:val="00A75052"/>
    <w:rsid w:val="00A826DB"/>
    <w:rsid w:val="00A82B47"/>
    <w:rsid w:val="00A858DF"/>
    <w:rsid w:val="00A86321"/>
    <w:rsid w:val="00A867D1"/>
    <w:rsid w:val="00A87425"/>
    <w:rsid w:val="00A87C4A"/>
    <w:rsid w:val="00A92439"/>
    <w:rsid w:val="00A949BA"/>
    <w:rsid w:val="00A964E5"/>
    <w:rsid w:val="00A965C2"/>
    <w:rsid w:val="00A96A25"/>
    <w:rsid w:val="00AA3992"/>
    <w:rsid w:val="00AB1422"/>
    <w:rsid w:val="00AB5E25"/>
    <w:rsid w:val="00AC06DD"/>
    <w:rsid w:val="00AC1A1A"/>
    <w:rsid w:val="00AC2C96"/>
    <w:rsid w:val="00AD2FD4"/>
    <w:rsid w:val="00AD3063"/>
    <w:rsid w:val="00AD3949"/>
    <w:rsid w:val="00AD424C"/>
    <w:rsid w:val="00AD55C0"/>
    <w:rsid w:val="00AD5EE6"/>
    <w:rsid w:val="00AD6A16"/>
    <w:rsid w:val="00AE0069"/>
    <w:rsid w:val="00AE19E2"/>
    <w:rsid w:val="00AE226D"/>
    <w:rsid w:val="00AE3308"/>
    <w:rsid w:val="00AE49CB"/>
    <w:rsid w:val="00AE7490"/>
    <w:rsid w:val="00AF1926"/>
    <w:rsid w:val="00AF33F5"/>
    <w:rsid w:val="00AF3691"/>
    <w:rsid w:val="00AF7E9F"/>
    <w:rsid w:val="00B0138C"/>
    <w:rsid w:val="00B03805"/>
    <w:rsid w:val="00B03A1E"/>
    <w:rsid w:val="00B04FD6"/>
    <w:rsid w:val="00B058E9"/>
    <w:rsid w:val="00B05DA7"/>
    <w:rsid w:val="00B0613E"/>
    <w:rsid w:val="00B1333D"/>
    <w:rsid w:val="00B139E3"/>
    <w:rsid w:val="00B1486E"/>
    <w:rsid w:val="00B21920"/>
    <w:rsid w:val="00B2226F"/>
    <w:rsid w:val="00B24952"/>
    <w:rsid w:val="00B270AC"/>
    <w:rsid w:val="00B27868"/>
    <w:rsid w:val="00B352EE"/>
    <w:rsid w:val="00B37043"/>
    <w:rsid w:val="00B37CE7"/>
    <w:rsid w:val="00B413F6"/>
    <w:rsid w:val="00B44B15"/>
    <w:rsid w:val="00B461C2"/>
    <w:rsid w:val="00B50B54"/>
    <w:rsid w:val="00B50CCC"/>
    <w:rsid w:val="00B531D5"/>
    <w:rsid w:val="00B5344E"/>
    <w:rsid w:val="00B54D23"/>
    <w:rsid w:val="00B624AB"/>
    <w:rsid w:val="00B64D26"/>
    <w:rsid w:val="00B66E6E"/>
    <w:rsid w:val="00B70E30"/>
    <w:rsid w:val="00B733A8"/>
    <w:rsid w:val="00B7468D"/>
    <w:rsid w:val="00B748C3"/>
    <w:rsid w:val="00B75ADA"/>
    <w:rsid w:val="00B75B06"/>
    <w:rsid w:val="00B77982"/>
    <w:rsid w:val="00B8049B"/>
    <w:rsid w:val="00B82C37"/>
    <w:rsid w:val="00B83029"/>
    <w:rsid w:val="00B85B84"/>
    <w:rsid w:val="00B86509"/>
    <w:rsid w:val="00B86D37"/>
    <w:rsid w:val="00B87D1D"/>
    <w:rsid w:val="00B9229B"/>
    <w:rsid w:val="00BA0071"/>
    <w:rsid w:val="00BA627E"/>
    <w:rsid w:val="00BA6550"/>
    <w:rsid w:val="00BA6EEE"/>
    <w:rsid w:val="00BA740D"/>
    <w:rsid w:val="00BB0AD4"/>
    <w:rsid w:val="00BB521A"/>
    <w:rsid w:val="00BB5538"/>
    <w:rsid w:val="00BC3C38"/>
    <w:rsid w:val="00BC3D84"/>
    <w:rsid w:val="00BC66C5"/>
    <w:rsid w:val="00BD22F3"/>
    <w:rsid w:val="00BD44E0"/>
    <w:rsid w:val="00BD4814"/>
    <w:rsid w:val="00BD5106"/>
    <w:rsid w:val="00BD5510"/>
    <w:rsid w:val="00BD7466"/>
    <w:rsid w:val="00BE111F"/>
    <w:rsid w:val="00BE21EA"/>
    <w:rsid w:val="00BE2EBB"/>
    <w:rsid w:val="00BF0A8E"/>
    <w:rsid w:val="00BF15A3"/>
    <w:rsid w:val="00BF2C74"/>
    <w:rsid w:val="00BF35A7"/>
    <w:rsid w:val="00BF39AD"/>
    <w:rsid w:val="00BF6388"/>
    <w:rsid w:val="00BF78AC"/>
    <w:rsid w:val="00BF7C7F"/>
    <w:rsid w:val="00C01747"/>
    <w:rsid w:val="00C04EF3"/>
    <w:rsid w:val="00C0647C"/>
    <w:rsid w:val="00C070CB"/>
    <w:rsid w:val="00C10E1D"/>
    <w:rsid w:val="00C11B01"/>
    <w:rsid w:val="00C124E8"/>
    <w:rsid w:val="00C143A7"/>
    <w:rsid w:val="00C22A2A"/>
    <w:rsid w:val="00C24B0B"/>
    <w:rsid w:val="00C25D4E"/>
    <w:rsid w:val="00C30C7B"/>
    <w:rsid w:val="00C3101E"/>
    <w:rsid w:val="00C33FC8"/>
    <w:rsid w:val="00C35A96"/>
    <w:rsid w:val="00C36DD2"/>
    <w:rsid w:val="00C37F85"/>
    <w:rsid w:val="00C40B38"/>
    <w:rsid w:val="00C50CEF"/>
    <w:rsid w:val="00C52AFB"/>
    <w:rsid w:val="00C52E60"/>
    <w:rsid w:val="00C54540"/>
    <w:rsid w:val="00C562F6"/>
    <w:rsid w:val="00C60EEC"/>
    <w:rsid w:val="00C61E03"/>
    <w:rsid w:val="00C62824"/>
    <w:rsid w:val="00C7120E"/>
    <w:rsid w:val="00C7438F"/>
    <w:rsid w:val="00C74952"/>
    <w:rsid w:val="00C75359"/>
    <w:rsid w:val="00C76F07"/>
    <w:rsid w:val="00C804DA"/>
    <w:rsid w:val="00C83BA7"/>
    <w:rsid w:val="00C918A7"/>
    <w:rsid w:val="00C94810"/>
    <w:rsid w:val="00C94ABB"/>
    <w:rsid w:val="00C95C6F"/>
    <w:rsid w:val="00C97183"/>
    <w:rsid w:val="00CA09EF"/>
    <w:rsid w:val="00CA3C1B"/>
    <w:rsid w:val="00CA5939"/>
    <w:rsid w:val="00CA6E35"/>
    <w:rsid w:val="00CB08A0"/>
    <w:rsid w:val="00CB09BC"/>
    <w:rsid w:val="00CB2A2E"/>
    <w:rsid w:val="00CC0EDE"/>
    <w:rsid w:val="00CC1EF3"/>
    <w:rsid w:val="00CC3680"/>
    <w:rsid w:val="00CC5EE1"/>
    <w:rsid w:val="00CD0643"/>
    <w:rsid w:val="00CD0823"/>
    <w:rsid w:val="00CD0B74"/>
    <w:rsid w:val="00CD3DE1"/>
    <w:rsid w:val="00CD4683"/>
    <w:rsid w:val="00CD5DDA"/>
    <w:rsid w:val="00CE3635"/>
    <w:rsid w:val="00CF22C7"/>
    <w:rsid w:val="00CF44BE"/>
    <w:rsid w:val="00CF4593"/>
    <w:rsid w:val="00CF49BE"/>
    <w:rsid w:val="00D0251C"/>
    <w:rsid w:val="00D055BA"/>
    <w:rsid w:val="00D10210"/>
    <w:rsid w:val="00D10E98"/>
    <w:rsid w:val="00D12F8A"/>
    <w:rsid w:val="00D14978"/>
    <w:rsid w:val="00D167DD"/>
    <w:rsid w:val="00D17876"/>
    <w:rsid w:val="00D203E4"/>
    <w:rsid w:val="00D21491"/>
    <w:rsid w:val="00D215A6"/>
    <w:rsid w:val="00D224F4"/>
    <w:rsid w:val="00D23376"/>
    <w:rsid w:val="00D32808"/>
    <w:rsid w:val="00D3425E"/>
    <w:rsid w:val="00D3644F"/>
    <w:rsid w:val="00D36891"/>
    <w:rsid w:val="00D43B22"/>
    <w:rsid w:val="00D441EC"/>
    <w:rsid w:val="00D4470A"/>
    <w:rsid w:val="00D66DE2"/>
    <w:rsid w:val="00D721A8"/>
    <w:rsid w:val="00D7524D"/>
    <w:rsid w:val="00D80138"/>
    <w:rsid w:val="00D80271"/>
    <w:rsid w:val="00D82E34"/>
    <w:rsid w:val="00D90B49"/>
    <w:rsid w:val="00D95E1E"/>
    <w:rsid w:val="00D97E56"/>
    <w:rsid w:val="00DA09AF"/>
    <w:rsid w:val="00DA249D"/>
    <w:rsid w:val="00DA2735"/>
    <w:rsid w:val="00DA4058"/>
    <w:rsid w:val="00DA4A93"/>
    <w:rsid w:val="00DB3B33"/>
    <w:rsid w:val="00DB4526"/>
    <w:rsid w:val="00DB4827"/>
    <w:rsid w:val="00DB5178"/>
    <w:rsid w:val="00DB5593"/>
    <w:rsid w:val="00DB56EE"/>
    <w:rsid w:val="00DC1CF5"/>
    <w:rsid w:val="00DC1E5A"/>
    <w:rsid w:val="00DC2BF0"/>
    <w:rsid w:val="00DC3DC8"/>
    <w:rsid w:val="00DD1E49"/>
    <w:rsid w:val="00DD1FFF"/>
    <w:rsid w:val="00DD2273"/>
    <w:rsid w:val="00DD31EC"/>
    <w:rsid w:val="00DD3546"/>
    <w:rsid w:val="00DD3C37"/>
    <w:rsid w:val="00DD47B5"/>
    <w:rsid w:val="00DD74E8"/>
    <w:rsid w:val="00DE02C0"/>
    <w:rsid w:val="00DE33F7"/>
    <w:rsid w:val="00DE3B13"/>
    <w:rsid w:val="00DE42D9"/>
    <w:rsid w:val="00DE52CD"/>
    <w:rsid w:val="00DE5644"/>
    <w:rsid w:val="00DE5D4D"/>
    <w:rsid w:val="00DE74B7"/>
    <w:rsid w:val="00DF07C7"/>
    <w:rsid w:val="00DF2F5C"/>
    <w:rsid w:val="00DF6AD8"/>
    <w:rsid w:val="00E0065D"/>
    <w:rsid w:val="00E01FDF"/>
    <w:rsid w:val="00E02D50"/>
    <w:rsid w:val="00E041EE"/>
    <w:rsid w:val="00E0504C"/>
    <w:rsid w:val="00E076EB"/>
    <w:rsid w:val="00E07B93"/>
    <w:rsid w:val="00E103D2"/>
    <w:rsid w:val="00E15472"/>
    <w:rsid w:val="00E20934"/>
    <w:rsid w:val="00E26385"/>
    <w:rsid w:val="00E3095C"/>
    <w:rsid w:val="00E34EE6"/>
    <w:rsid w:val="00E37324"/>
    <w:rsid w:val="00E43151"/>
    <w:rsid w:val="00E43A0F"/>
    <w:rsid w:val="00E4629C"/>
    <w:rsid w:val="00E50DF4"/>
    <w:rsid w:val="00E5498E"/>
    <w:rsid w:val="00E54D7C"/>
    <w:rsid w:val="00E62A98"/>
    <w:rsid w:val="00E62C8B"/>
    <w:rsid w:val="00E668DC"/>
    <w:rsid w:val="00E71297"/>
    <w:rsid w:val="00E8100E"/>
    <w:rsid w:val="00E81707"/>
    <w:rsid w:val="00E817FF"/>
    <w:rsid w:val="00E81A46"/>
    <w:rsid w:val="00E84B8D"/>
    <w:rsid w:val="00E87991"/>
    <w:rsid w:val="00E9094F"/>
    <w:rsid w:val="00E90F31"/>
    <w:rsid w:val="00E96B32"/>
    <w:rsid w:val="00EA1DC0"/>
    <w:rsid w:val="00EA4D06"/>
    <w:rsid w:val="00EA71F4"/>
    <w:rsid w:val="00EA7478"/>
    <w:rsid w:val="00EA7CF0"/>
    <w:rsid w:val="00EB01EC"/>
    <w:rsid w:val="00EB04A3"/>
    <w:rsid w:val="00EB2312"/>
    <w:rsid w:val="00EB301E"/>
    <w:rsid w:val="00EC1086"/>
    <w:rsid w:val="00EC1415"/>
    <w:rsid w:val="00EC3225"/>
    <w:rsid w:val="00EC6E85"/>
    <w:rsid w:val="00EC7220"/>
    <w:rsid w:val="00ED0B5E"/>
    <w:rsid w:val="00ED5D9E"/>
    <w:rsid w:val="00ED79B0"/>
    <w:rsid w:val="00EE0C2E"/>
    <w:rsid w:val="00EE1531"/>
    <w:rsid w:val="00EE16F7"/>
    <w:rsid w:val="00EE1AA3"/>
    <w:rsid w:val="00EE21B4"/>
    <w:rsid w:val="00EE2BC8"/>
    <w:rsid w:val="00EE37C6"/>
    <w:rsid w:val="00EE6333"/>
    <w:rsid w:val="00EE7514"/>
    <w:rsid w:val="00EE7701"/>
    <w:rsid w:val="00EF02A1"/>
    <w:rsid w:val="00EF20FD"/>
    <w:rsid w:val="00EF49DC"/>
    <w:rsid w:val="00F043B0"/>
    <w:rsid w:val="00F0658B"/>
    <w:rsid w:val="00F11E1B"/>
    <w:rsid w:val="00F1245B"/>
    <w:rsid w:val="00F13205"/>
    <w:rsid w:val="00F1552C"/>
    <w:rsid w:val="00F159F9"/>
    <w:rsid w:val="00F163C2"/>
    <w:rsid w:val="00F16EFE"/>
    <w:rsid w:val="00F20A1F"/>
    <w:rsid w:val="00F24802"/>
    <w:rsid w:val="00F24A99"/>
    <w:rsid w:val="00F26F9A"/>
    <w:rsid w:val="00F30956"/>
    <w:rsid w:val="00F321C5"/>
    <w:rsid w:val="00F34FD3"/>
    <w:rsid w:val="00F36620"/>
    <w:rsid w:val="00F40141"/>
    <w:rsid w:val="00F40F20"/>
    <w:rsid w:val="00F41668"/>
    <w:rsid w:val="00F422C9"/>
    <w:rsid w:val="00F429DA"/>
    <w:rsid w:val="00F506BE"/>
    <w:rsid w:val="00F5377D"/>
    <w:rsid w:val="00F55A35"/>
    <w:rsid w:val="00F57FCD"/>
    <w:rsid w:val="00F71A04"/>
    <w:rsid w:val="00F77864"/>
    <w:rsid w:val="00F77EE2"/>
    <w:rsid w:val="00F807FB"/>
    <w:rsid w:val="00F81BB0"/>
    <w:rsid w:val="00F836E4"/>
    <w:rsid w:val="00F865B4"/>
    <w:rsid w:val="00F87281"/>
    <w:rsid w:val="00F90ABC"/>
    <w:rsid w:val="00F91C17"/>
    <w:rsid w:val="00F92A16"/>
    <w:rsid w:val="00F92AE5"/>
    <w:rsid w:val="00F9306B"/>
    <w:rsid w:val="00F964CF"/>
    <w:rsid w:val="00F969F7"/>
    <w:rsid w:val="00FA00B4"/>
    <w:rsid w:val="00FA2839"/>
    <w:rsid w:val="00FA401A"/>
    <w:rsid w:val="00FA475F"/>
    <w:rsid w:val="00FA59CC"/>
    <w:rsid w:val="00FA633A"/>
    <w:rsid w:val="00FA65F2"/>
    <w:rsid w:val="00FB1FE2"/>
    <w:rsid w:val="00FB3DB9"/>
    <w:rsid w:val="00FC00DD"/>
    <w:rsid w:val="00FC41DD"/>
    <w:rsid w:val="00FC4A03"/>
    <w:rsid w:val="00FC5EFA"/>
    <w:rsid w:val="00FC6F30"/>
    <w:rsid w:val="00FD156A"/>
    <w:rsid w:val="00FD1C96"/>
    <w:rsid w:val="00FD3A36"/>
    <w:rsid w:val="00FD6135"/>
    <w:rsid w:val="00FE0559"/>
    <w:rsid w:val="00FE0746"/>
    <w:rsid w:val="00FE650A"/>
    <w:rsid w:val="00FF0CBA"/>
    <w:rsid w:val="00FF1816"/>
    <w:rsid w:val="00FF1D21"/>
    <w:rsid w:val="00FF4172"/>
    <w:rsid w:val="00FF5D2F"/>
    <w:rsid w:val="00FF5D4B"/>
    <w:rsid w:val="00FF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DD"/>
    <w:rPr>
      <w:sz w:val="24"/>
      <w:szCs w:val="24"/>
    </w:rPr>
  </w:style>
  <w:style w:type="paragraph" w:styleId="Heading1">
    <w:name w:val="heading 1"/>
    <w:basedOn w:val="Normal"/>
    <w:next w:val="Normal"/>
    <w:link w:val="Heading1Char"/>
    <w:qFormat/>
    <w:rsid w:val="00717DAE"/>
    <w:pPr>
      <w:keepNext/>
      <w:jc w:val="center"/>
      <w:outlineLvl w:val="0"/>
    </w:pPr>
    <w:rPr>
      <w:rFonts w:ascii="Courier" w:hAnsi="Courier"/>
      <w:b/>
      <w:szCs w:val="20"/>
    </w:rPr>
  </w:style>
  <w:style w:type="paragraph" w:styleId="Heading2">
    <w:name w:val="heading 2"/>
    <w:basedOn w:val="Normal"/>
    <w:next w:val="Normal"/>
    <w:qFormat/>
    <w:rsid w:val="00717DAE"/>
    <w:pPr>
      <w:keepNext/>
      <w:jc w:val="right"/>
      <w:outlineLvl w:val="1"/>
    </w:pPr>
    <w:rPr>
      <w:rFonts w:ascii="Arial" w:hAnsi="Arial"/>
      <w:b/>
      <w:sz w:val="20"/>
      <w:szCs w:val="20"/>
      <w:u w:val="single"/>
    </w:rPr>
  </w:style>
  <w:style w:type="paragraph" w:styleId="Heading3">
    <w:name w:val="heading 3"/>
    <w:basedOn w:val="Normal"/>
    <w:next w:val="Normal"/>
    <w:qFormat/>
    <w:rsid w:val="00717DAE"/>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717DAE"/>
    <w:pPr>
      <w:keepNext/>
      <w:numPr>
        <w:numId w:val="2"/>
      </w:numPr>
      <w:outlineLvl w:val="3"/>
    </w:pPr>
    <w:rPr>
      <w:rFonts w:ascii="Courier New" w:hAnsi="Courier New"/>
      <w:b/>
      <w:szCs w:val="20"/>
    </w:rPr>
  </w:style>
  <w:style w:type="paragraph" w:styleId="Heading5">
    <w:name w:val="heading 5"/>
    <w:basedOn w:val="Normal"/>
    <w:next w:val="Normal"/>
    <w:qFormat/>
    <w:rsid w:val="00717DAE"/>
    <w:pPr>
      <w:keepNext/>
      <w:outlineLvl w:val="4"/>
    </w:pPr>
    <w:rPr>
      <w:b/>
      <w:bCs/>
      <w:sz w:val="18"/>
    </w:rPr>
  </w:style>
  <w:style w:type="paragraph" w:styleId="Heading6">
    <w:name w:val="heading 6"/>
    <w:basedOn w:val="Normal"/>
    <w:next w:val="Normal"/>
    <w:qFormat/>
    <w:rsid w:val="00717DAE"/>
    <w:pPr>
      <w:keepNext/>
      <w:numPr>
        <w:numId w:val="1"/>
      </w:numPr>
      <w:outlineLvl w:val="5"/>
    </w:pPr>
    <w:rPr>
      <w:b/>
      <w:szCs w:val="20"/>
    </w:rPr>
  </w:style>
  <w:style w:type="paragraph" w:styleId="Heading7">
    <w:name w:val="heading 7"/>
    <w:basedOn w:val="Normal"/>
    <w:next w:val="Normal"/>
    <w:qFormat/>
    <w:rsid w:val="00717DAE"/>
    <w:pPr>
      <w:keepNext/>
      <w:jc w:val="center"/>
      <w:outlineLvl w:val="6"/>
    </w:pPr>
    <w:rPr>
      <w:szCs w:val="20"/>
    </w:rPr>
  </w:style>
  <w:style w:type="paragraph" w:styleId="Heading8">
    <w:name w:val="heading 8"/>
    <w:basedOn w:val="Normal"/>
    <w:next w:val="Normal"/>
    <w:qFormat/>
    <w:rsid w:val="00717DAE"/>
    <w:pPr>
      <w:keepNext/>
      <w:tabs>
        <w:tab w:val="right" w:pos="8928"/>
      </w:tabs>
      <w:jc w:val="center"/>
      <w:outlineLvl w:val="7"/>
    </w:pPr>
    <w:rPr>
      <w:rFonts w:ascii="Arial" w:hAnsi="Arial" w:cs="Arial"/>
      <w:b/>
      <w:sz w:val="48"/>
    </w:rPr>
  </w:style>
  <w:style w:type="paragraph" w:styleId="Heading9">
    <w:name w:val="heading 9"/>
    <w:basedOn w:val="Normal"/>
    <w:next w:val="Normal"/>
    <w:qFormat/>
    <w:rsid w:val="00717DAE"/>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DAE"/>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717DAE"/>
    <w:pPr>
      <w:spacing w:before="100" w:after="100"/>
    </w:pPr>
    <w:rPr>
      <w:rFonts w:eastAsia="Arial Unicode MS"/>
      <w:szCs w:val="20"/>
    </w:rPr>
  </w:style>
  <w:style w:type="paragraph" w:customStyle="1" w:styleId="APP-3A">
    <w:name w:val="APP-3A"/>
    <w:rsid w:val="00717DAE"/>
    <w:rPr>
      <w:rFonts w:ascii="Arial" w:hAnsi="Arial"/>
      <w:b/>
    </w:rPr>
  </w:style>
  <w:style w:type="paragraph" w:customStyle="1" w:styleId="xl33">
    <w:name w:val="xl33"/>
    <w:basedOn w:val="Normal"/>
    <w:rsid w:val="00717DAE"/>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uiPriority w:val="99"/>
    <w:rsid w:val="00717DAE"/>
    <w:rPr>
      <w:szCs w:val="20"/>
    </w:rPr>
  </w:style>
  <w:style w:type="paragraph" w:customStyle="1" w:styleId="xl27">
    <w:name w:val="xl27"/>
    <w:basedOn w:val="Normal"/>
    <w:rsid w:val="00717DAE"/>
    <w:pPr>
      <w:spacing w:before="100" w:after="100"/>
    </w:pPr>
    <w:rPr>
      <w:rFonts w:ascii="Arial" w:eastAsia="Arial Unicode MS" w:hAnsi="Arial"/>
      <w:b/>
      <w:szCs w:val="20"/>
    </w:rPr>
  </w:style>
  <w:style w:type="paragraph" w:styleId="FootnoteText">
    <w:name w:val="footnote text"/>
    <w:basedOn w:val="Normal"/>
    <w:semiHidden/>
    <w:rsid w:val="00717DAE"/>
    <w:rPr>
      <w:sz w:val="20"/>
      <w:szCs w:val="20"/>
    </w:rPr>
  </w:style>
  <w:style w:type="paragraph" w:customStyle="1" w:styleId="xl34">
    <w:name w:val="xl34"/>
    <w:basedOn w:val="Normal"/>
    <w:rsid w:val="00717DAE"/>
    <w:pPr>
      <w:spacing w:before="100" w:after="100"/>
      <w:jc w:val="center"/>
    </w:pPr>
    <w:rPr>
      <w:rFonts w:eastAsia="Arial Unicode MS"/>
      <w:b/>
      <w:sz w:val="20"/>
      <w:szCs w:val="20"/>
    </w:rPr>
  </w:style>
  <w:style w:type="paragraph" w:styleId="Title">
    <w:name w:val="Title"/>
    <w:basedOn w:val="Normal"/>
    <w:link w:val="TitleChar"/>
    <w:qFormat/>
    <w:rsid w:val="00717DAE"/>
    <w:pPr>
      <w:ind w:left="720"/>
      <w:jc w:val="center"/>
    </w:pPr>
    <w:rPr>
      <w:b/>
      <w:i/>
      <w:szCs w:val="20"/>
    </w:rPr>
  </w:style>
  <w:style w:type="paragraph" w:styleId="BodyText2">
    <w:name w:val="Body Text 2"/>
    <w:basedOn w:val="Normal"/>
    <w:rsid w:val="00717DAE"/>
    <w:rPr>
      <w:sz w:val="20"/>
      <w:szCs w:val="20"/>
    </w:rPr>
  </w:style>
  <w:style w:type="paragraph" w:styleId="Header">
    <w:name w:val="header"/>
    <w:basedOn w:val="Normal"/>
    <w:rsid w:val="00717DAE"/>
    <w:pPr>
      <w:tabs>
        <w:tab w:val="center" w:pos="4320"/>
        <w:tab w:val="right" w:pos="8640"/>
      </w:tabs>
    </w:pPr>
    <w:rPr>
      <w:rFonts w:ascii="CG Times" w:hAnsi="CG Times"/>
      <w:szCs w:val="20"/>
    </w:rPr>
  </w:style>
  <w:style w:type="paragraph" w:customStyle="1" w:styleId="xl24">
    <w:name w:val="xl24"/>
    <w:basedOn w:val="Normal"/>
    <w:rsid w:val="00717DAE"/>
    <w:pPr>
      <w:spacing w:before="100" w:after="100"/>
    </w:pPr>
    <w:rPr>
      <w:rFonts w:eastAsia="Arial Unicode MS"/>
      <w:szCs w:val="20"/>
      <w:u w:val="single"/>
    </w:rPr>
  </w:style>
  <w:style w:type="paragraph" w:styleId="BodyText3">
    <w:name w:val="Body Text 3"/>
    <w:basedOn w:val="Normal"/>
    <w:rsid w:val="00717DAE"/>
    <w:rPr>
      <w:color w:val="000000"/>
      <w:szCs w:val="20"/>
    </w:rPr>
  </w:style>
  <w:style w:type="paragraph" w:customStyle="1" w:styleId="xl22">
    <w:name w:val="xl22"/>
    <w:basedOn w:val="Normal"/>
    <w:rsid w:val="00717DAE"/>
    <w:pPr>
      <w:spacing w:before="100" w:after="100"/>
      <w:jc w:val="center"/>
    </w:pPr>
    <w:rPr>
      <w:rFonts w:eastAsia="Arial Unicode MS"/>
      <w:szCs w:val="20"/>
      <w:u w:val="single"/>
    </w:rPr>
  </w:style>
  <w:style w:type="paragraph" w:styleId="TOC1">
    <w:name w:val="toc 1"/>
    <w:basedOn w:val="Normal"/>
    <w:next w:val="Normal"/>
    <w:autoRedefine/>
    <w:semiHidden/>
    <w:rsid w:val="00717DAE"/>
    <w:pPr>
      <w:jc w:val="right"/>
    </w:pPr>
    <w:rPr>
      <w:szCs w:val="20"/>
    </w:rPr>
  </w:style>
  <w:style w:type="paragraph" w:styleId="TOAHeading">
    <w:name w:val="toa heading"/>
    <w:basedOn w:val="Normal"/>
    <w:next w:val="Normal"/>
    <w:semiHidden/>
    <w:rsid w:val="00717DAE"/>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717DAE"/>
  </w:style>
  <w:style w:type="paragraph" w:styleId="BodyTextIndent">
    <w:name w:val="Body Text Indent"/>
    <w:basedOn w:val="Normal"/>
    <w:link w:val="BodyTextIndentChar"/>
    <w:rsid w:val="00717DAE"/>
    <w:pPr>
      <w:tabs>
        <w:tab w:val="left" w:leader="dot" w:pos="7920"/>
        <w:tab w:val="right" w:pos="8640"/>
      </w:tabs>
      <w:ind w:left="720"/>
    </w:pPr>
    <w:rPr>
      <w:bCs/>
      <w:i/>
      <w:iCs/>
    </w:rPr>
  </w:style>
  <w:style w:type="paragraph" w:styleId="BalloonText">
    <w:name w:val="Balloon Text"/>
    <w:basedOn w:val="Normal"/>
    <w:semiHidden/>
    <w:rsid w:val="00717DAE"/>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15"/>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82951"/>
    <w:rPr>
      <w:sz w:val="16"/>
      <w:szCs w:val="16"/>
    </w:rPr>
  </w:style>
  <w:style w:type="paragraph" w:styleId="CommentText">
    <w:name w:val="annotation text"/>
    <w:basedOn w:val="Normal"/>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BodyTextIndentChar">
    <w:name w:val="Body Text Indent Char"/>
    <w:basedOn w:val="DefaultParagraphFont"/>
    <w:link w:val="BodyTextIndent"/>
    <w:rsid w:val="00705837"/>
    <w:rPr>
      <w:bCs/>
      <w:i/>
      <w:iCs/>
      <w:sz w:val="24"/>
      <w:szCs w:val="24"/>
    </w:rPr>
  </w:style>
  <w:style w:type="character" w:styleId="FollowedHyperlink">
    <w:name w:val="FollowedHyperlink"/>
    <w:basedOn w:val="DefaultParagraphFont"/>
    <w:rsid w:val="001363C1"/>
    <w:rPr>
      <w:color w:val="800080"/>
      <w:u w:val="single"/>
    </w:rPr>
  </w:style>
  <w:style w:type="character" w:customStyle="1" w:styleId="BodyTextChar">
    <w:name w:val="Body Text Char"/>
    <w:aliases w:val="Hanging Char,body text Char,bt Char,heading3 Char,NCDOT Body Text Char,1body Char,BodText Char,Body Txt Char,FL IND Char"/>
    <w:basedOn w:val="DefaultParagraphFont"/>
    <w:link w:val="BodyText"/>
    <w:uiPriority w:val="99"/>
    <w:rsid w:val="006E5C57"/>
    <w:rPr>
      <w:sz w:val="24"/>
    </w:rPr>
  </w:style>
  <w:style w:type="paragraph" w:customStyle="1" w:styleId="Style0">
    <w:name w:val="Style0"/>
    <w:rsid w:val="004603C0"/>
    <w:pPr>
      <w:autoSpaceDE w:val="0"/>
      <w:autoSpaceDN w:val="0"/>
      <w:adjustRightInd w:val="0"/>
    </w:pPr>
    <w:rPr>
      <w:rFonts w:ascii="Arial" w:hAnsi="Arial"/>
      <w:szCs w:val="24"/>
    </w:rPr>
  </w:style>
  <w:style w:type="character" w:customStyle="1" w:styleId="Heading1Char">
    <w:name w:val="Heading 1 Char"/>
    <w:basedOn w:val="DefaultParagraphFont"/>
    <w:link w:val="Heading1"/>
    <w:rsid w:val="000C1533"/>
    <w:rPr>
      <w:rFonts w:ascii="Courier" w:hAnsi="Courier"/>
      <w:b/>
      <w:sz w:val="24"/>
    </w:rPr>
  </w:style>
  <w:style w:type="character" w:customStyle="1" w:styleId="TitleChar">
    <w:name w:val="Title Char"/>
    <w:basedOn w:val="DefaultParagraphFont"/>
    <w:link w:val="Title"/>
    <w:rsid w:val="00CC0EDE"/>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DD"/>
    <w:rPr>
      <w:sz w:val="24"/>
      <w:szCs w:val="24"/>
    </w:rPr>
  </w:style>
  <w:style w:type="paragraph" w:styleId="Heading1">
    <w:name w:val="heading 1"/>
    <w:basedOn w:val="Normal"/>
    <w:next w:val="Normal"/>
    <w:link w:val="Heading1Char"/>
    <w:qFormat/>
    <w:rsid w:val="00717DAE"/>
    <w:pPr>
      <w:keepNext/>
      <w:jc w:val="center"/>
      <w:outlineLvl w:val="0"/>
    </w:pPr>
    <w:rPr>
      <w:rFonts w:ascii="Courier" w:hAnsi="Courier"/>
      <w:b/>
      <w:szCs w:val="20"/>
    </w:rPr>
  </w:style>
  <w:style w:type="paragraph" w:styleId="Heading2">
    <w:name w:val="heading 2"/>
    <w:basedOn w:val="Normal"/>
    <w:next w:val="Normal"/>
    <w:qFormat/>
    <w:rsid w:val="00717DAE"/>
    <w:pPr>
      <w:keepNext/>
      <w:jc w:val="right"/>
      <w:outlineLvl w:val="1"/>
    </w:pPr>
    <w:rPr>
      <w:rFonts w:ascii="Arial" w:hAnsi="Arial"/>
      <w:b/>
      <w:sz w:val="20"/>
      <w:szCs w:val="20"/>
      <w:u w:val="single"/>
    </w:rPr>
  </w:style>
  <w:style w:type="paragraph" w:styleId="Heading3">
    <w:name w:val="heading 3"/>
    <w:basedOn w:val="Normal"/>
    <w:next w:val="Normal"/>
    <w:qFormat/>
    <w:rsid w:val="00717DAE"/>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717DAE"/>
    <w:pPr>
      <w:keepNext/>
      <w:numPr>
        <w:numId w:val="2"/>
      </w:numPr>
      <w:outlineLvl w:val="3"/>
    </w:pPr>
    <w:rPr>
      <w:rFonts w:ascii="Courier New" w:hAnsi="Courier New"/>
      <w:b/>
      <w:szCs w:val="20"/>
    </w:rPr>
  </w:style>
  <w:style w:type="paragraph" w:styleId="Heading5">
    <w:name w:val="heading 5"/>
    <w:basedOn w:val="Normal"/>
    <w:next w:val="Normal"/>
    <w:qFormat/>
    <w:rsid w:val="00717DAE"/>
    <w:pPr>
      <w:keepNext/>
      <w:outlineLvl w:val="4"/>
    </w:pPr>
    <w:rPr>
      <w:b/>
      <w:bCs/>
      <w:sz w:val="18"/>
    </w:rPr>
  </w:style>
  <w:style w:type="paragraph" w:styleId="Heading6">
    <w:name w:val="heading 6"/>
    <w:basedOn w:val="Normal"/>
    <w:next w:val="Normal"/>
    <w:qFormat/>
    <w:rsid w:val="00717DAE"/>
    <w:pPr>
      <w:keepNext/>
      <w:numPr>
        <w:numId w:val="1"/>
      </w:numPr>
      <w:outlineLvl w:val="5"/>
    </w:pPr>
    <w:rPr>
      <w:b/>
      <w:szCs w:val="20"/>
    </w:rPr>
  </w:style>
  <w:style w:type="paragraph" w:styleId="Heading7">
    <w:name w:val="heading 7"/>
    <w:basedOn w:val="Normal"/>
    <w:next w:val="Normal"/>
    <w:qFormat/>
    <w:rsid w:val="00717DAE"/>
    <w:pPr>
      <w:keepNext/>
      <w:jc w:val="center"/>
      <w:outlineLvl w:val="6"/>
    </w:pPr>
    <w:rPr>
      <w:szCs w:val="20"/>
    </w:rPr>
  </w:style>
  <w:style w:type="paragraph" w:styleId="Heading8">
    <w:name w:val="heading 8"/>
    <w:basedOn w:val="Normal"/>
    <w:next w:val="Normal"/>
    <w:qFormat/>
    <w:rsid w:val="00717DAE"/>
    <w:pPr>
      <w:keepNext/>
      <w:tabs>
        <w:tab w:val="right" w:pos="8928"/>
      </w:tabs>
      <w:jc w:val="center"/>
      <w:outlineLvl w:val="7"/>
    </w:pPr>
    <w:rPr>
      <w:rFonts w:ascii="Arial" w:hAnsi="Arial" w:cs="Arial"/>
      <w:b/>
      <w:sz w:val="48"/>
    </w:rPr>
  </w:style>
  <w:style w:type="paragraph" w:styleId="Heading9">
    <w:name w:val="heading 9"/>
    <w:basedOn w:val="Normal"/>
    <w:next w:val="Normal"/>
    <w:qFormat/>
    <w:rsid w:val="00717DAE"/>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DAE"/>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717DAE"/>
    <w:pPr>
      <w:spacing w:before="100" w:after="100"/>
    </w:pPr>
    <w:rPr>
      <w:rFonts w:eastAsia="Arial Unicode MS"/>
      <w:szCs w:val="20"/>
    </w:rPr>
  </w:style>
  <w:style w:type="paragraph" w:customStyle="1" w:styleId="APP-3A">
    <w:name w:val="APP-3A"/>
    <w:rsid w:val="00717DAE"/>
    <w:rPr>
      <w:rFonts w:ascii="Arial" w:hAnsi="Arial"/>
      <w:b/>
    </w:rPr>
  </w:style>
  <w:style w:type="paragraph" w:customStyle="1" w:styleId="xl33">
    <w:name w:val="xl33"/>
    <w:basedOn w:val="Normal"/>
    <w:rsid w:val="00717DAE"/>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uiPriority w:val="99"/>
    <w:rsid w:val="00717DAE"/>
    <w:rPr>
      <w:szCs w:val="20"/>
    </w:rPr>
  </w:style>
  <w:style w:type="paragraph" w:customStyle="1" w:styleId="xl27">
    <w:name w:val="xl27"/>
    <w:basedOn w:val="Normal"/>
    <w:rsid w:val="00717DAE"/>
    <w:pPr>
      <w:spacing w:before="100" w:after="100"/>
    </w:pPr>
    <w:rPr>
      <w:rFonts w:ascii="Arial" w:eastAsia="Arial Unicode MS" w:hAnsi="Arial"/>
      <w:b/>
      <w:szCs w:val="20"/>
    </w:rPr>
  </w:style>
  <w:style w:type="paragraph" w:styleId="FootnoteText">
    <w:name w:val="footnote text"/>
    <w:basedOn w:val="Normal"/>
    <w:semiHidden/>
    <w:rsid w:val="00717DAE"/>
    <w:rPr>
      <w:sz w:val="20"/>
      <w:szCs w:val="20"/>
    </w:rPr>
  </w:style>
  <w:style w:type="paragraph" w:customStyle="1" w:styleId="xl34">
    <w:name w:val="xl34"/>
    <w:basedOn w:val="Normal"/>
    <w:rsid w:val="00717DAE"/>
    <w:pPr>
      <w:spacing w:before="100" w:after="100"/>
      <w:jc w:val="center"/>
    </w:pPr>
    <w:rPr>
      <w:rFonts w:eastAsia="Arial Unicode MS"/>
      <w:b/>
      <w:sz w:val="20"/>
      <w:szCs w:val="20"/>
    </w:rPr>
  </w:style>
  <w:style w:type="paragraph" w:styleId="Title">
    <w:name w:val="Title"/>
    <w:basedOn w:val="Normal"/>
    <w:link w:val="TitleChar"/>
    <w:qFormat/>
    <w:rsid w:val="00717DAE"/>
    <w:pPr>
      <w:ind w:left="720"/>
      <w:jc w:val="center"/>
    </w:pPr>
    <w:rPr>
      <w:b/>
      <w:i/>
      <w:szCs w:val="20"/>
    </w:rPr>
  </w:style>
  <w:style w:type="paragraph" w:styleId="BodyText2">
    <w:name w:val="Body Text 2"/>
    <w:basedOn w:val="Normal"/>
    <w:rsid w:val="00717DAE"/>
    <w:rPr>
      <w:sz w:val="20"/>
      <w:szCs w:val="20"/>
    </w:rPr>
  </w:style>
  <w:style w:type="paragraph" w:styleId="Header">
    <w:name w:val="header"/>
    <w:basedOn w:val="Normal"/>
    <w:rsid w:val="00717DAE"/>
    <w:pPr>
      <w:tabs>
        <w:tab w:val="center" w:pos="4320"/>
        <w:tab w:val="right" w:pos="8640"/>
      </w:tabs>
    </w:pPr>
    <w:rPr>
      <w:rFonts w:ascii="CG Times" w:hAnsi="CG Times"/>
      <w:szCs w:val="20"/>
    </w:rPr>
  </w:style>
  <w:style w:type="paragraph" w:customStyle="1" w:styleId="xl24">
    <w:name w:val="xl24"/>
    <w:basedOn w:val="Normal"/>
    <w:rsid w:val="00717DAE"/>
    <w:pPr>
      <w:spacing w:before="100" w:after="100"/>
    </w:pPr>
    <w:rPr>
      <w:rFonts w:eastAsia="Arial Unicode MS"/>
      <w:szCs w:val="20"/>
      <w:u w:val="single"/>
    </w:rPr>
  </w:style>
  <w:style w:type="paragraph" w:styleId="BodyText3">
    <w:name w:val="Body Text 3"/>
    <w:basedOn w:val="Normal"/>
    <w:rsid w:val="00717DAE"/>
    <w:rPr>
      <w:color w:val="000000"/>
      <w:szCs w:val="20"/>
    </w:rPr>
  </w:style>
  <w:style w:type="paragraph" w:customStyle="1" w:styleId="xl22">
    <w:name w:val="xl22"/>
    <w:basedOn w:val="Normal"/>
    <w:rsid w:val="00717DAE"/>
    <w:pPr>
      <w:spacing w:before="100" w:after="100"/>
      <w:jc w:val="center"/>
    </w:pPr>
    <w:rPr>
      <w:rFonts w:eastAsia="Arial Unicode MS"/>
      <w:szCs w:val="20"/>
      <w:u w:val="single"/>
    </w:rPr>
  </w:style>
  <w:style w:type="paragraph" w:styleId="TOC1">
    <w:name w:val="toc 1"/>
    <w:basedOn w:val="Normal"/>
    <w:next w:val="Normal"/>
    <w:autoRedefine/>
    <w:semiHidden/>
    <w:rsid w:val="00717DAE"/>
    <w:pPr>
      <w:jc w:val="right"/>
    </w:pPr>
    <w:rPr>
      <w:szCs w:val="20"/>
    </w:rPr>
  </w:style>
  <w:style w:type="paragraph" w:styleId="TOAHeading">
    <w:name w:val="toa heading"/>
    <w:basedOn w:val="Normal"/>
    <w:next w:val="Normal"/>
    <w:semiHidden/>
    <w:rsid w:val="00717DAE"/>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717DAE"/>
  </w:style>
  <w:style w:type="paragraph" w:styleId="BodyTextIndent">
    <w:name w:val="Body Text Indent"/>
    <w:basedOn w:val="Normal"/>
    <w:link w:val="BodyTextIndentChar"/>
    <w:rsid w:val="00717DAE"/>
    <w:pPr>
      <w:tabs>
        <w:tab w:val="left" w:leader="dot" w:pos="7920"/>
        <w:tab w:val="right" w:pos="8640"/>
      </w:tabs>
      <w:ind w:left="720"/>
    </w:pPr>
    <w:rPr>
      <w:bCs/>
      <w:i/>
      <w:iCs/>
    </w:rPr>
  </w:style>
  <w:style w:type="paragraph" w:styleId="BalloonText">
    <w:name w:val="Balloon Text"/>
    <w:basedOn w:val="Normal"/>
    <w:semiHidden/>
    <w:rsid w:val="00717DAE"/>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15"/>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82951"/>
    <w:rPr>
      <w:sz w:val="16"/>
      <w:szCs w:val="16"/>
    </w:rPr>
  </w:style>
  <w:style w:type="paragraph" w:styleId="CommentText">
    <w:name w:val="annotation text"/>
    <w:basedOn w:val="Normal"/>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BodyTextIndentChar">
    <w:name w:val="Body Text Indent Char"/>
    <w:basedOn w:val="DefaultParagraphFont"/>
    <w:link w:val="BodyTextIndent"/>
    <w:rsid w:val="00705837"/>
    <w:rPr>
      <w:bCs/>
      <w:i/>
      <w:iCs/>
      <w:sz w:val="24"/>
      <w:szCs w:val="24"/>
    </w:rPr>
  </w:style>
  <w:style w:type="character" w:styleId="FollowedHyperlink">
    <w:name w:val="FollowedHyperlink"/>
    <w:basedOn w:val="DefaultParagraphFont"/>
    <w:rsid w:val="001363C1"/>
    <w:rPr>
      <w:color w:val="800080"/>
      <w:u w:val="single"/>
    </w:rPr>
  </w:style>
  <w:style w:type="character" w:customStyle="1" w:styleId="BodyTextChar">
    <w:name w:val="Body Text Char"/>
    <w:aliases w:val="Hanging Char,body text Char,bt Char,heading3 Char,NCDOT Body Text Char,1body Char,BodText Char,Body Txt Char,FL IND Char"/>
    <w:basedOn w:val="DefaultParagraphFont"/>
    <w:link w:val="BodyText"/>
    <w:uiPriority w:val="99"/>
    <w:rsid w:val="006E5C57"/>
    <w:rPr>
      <w:sz w:val="24"/>
    </w:rPr>
  </w:style>
  <w:style w:type="paragraph" w:customStyle="1" w:styleId="Style0">
    <w:name w:val="Style0"/>
    <w:rsid w:val="004603C0"/>
    <w:pPr>
      <w:autoSpaceDE w:val="0"/>
      <w:autoSpaceDN w:val="0"/>
      <w:adjustRightInd w:val="0"/>
    </w:pPr>
    <w:rPr>
      <w:rFonts w:ascii="Arial" w:hAnsi="Arial"/>
      <w:szCs w:val="24"/>
    </w:rPr>
  </w:style>
  <w:style w:type="character" w:customStyle="1" w:styleId="Heading1Char">
    <w:name w:val="Heading 1 Char"/>
    <w:basedOn w:val="DefaultParagraphFont"/>
    <w:link w:val="Heading1"/>
    <w:rsid w:val="000C1533"/>
    <w:rPr>
      <w:rFonts w:ascii="Courier" w:hAnsi="Courier"/>
      <w:b/>
      <w:sz w:val="24"/>
    </w:rPr>
  </w:style>
  <w:style w:type="character" w:customStyle="1" w:styleId="TitleChar">
    <w:name w:val="Title Char"/>
    <w:basedOn w:val="DefaultParagraphFont"/>
    <w:link w:val="Title"/>
    <w:rsid w:val="00CC0EDE"/>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080">
      <w:bodyDiv w:val="1"/>
      <w:marLeft w:val="0"/>
      <w:marRight w:val="0"/>
      <w:marTop w:val="0"/>
      <w:marBottom w:val="0"/>
      <w:divBdr>
        <w:top w:val="none" w:sz="0" w:space="0" w:color="auto"/>
        <w:left w:val="none" w:sz="0" w:space="0" w:color="auto"/>
        <w:bottom w:val="none" w:sz="0" w:space="0" w:color="auto"/>
        <w:right w:val="none" w:sz="0" w:space="0" w:color="auto"/>
      </w:divBdr>
    </w:div>
    <w:div w:id="147131954">
      <w:bodyDiv w:val="1"/>
      <w:marLeft w:val="0"/>
      <w:marRight w:val="0"/>
      <w:marTop w:val="0"/>
      <w:marBottom w:val="0"/>
      <w:divBdr>
        <w:top w:val="none" w:sz="0" w:space="0" w:color="auto"/>
        <w:left w:val="none" w:sz="0" w:space="0" w:color="auto"/>
        <w:bottom w:val="none" w:sz="0" w:space="0" w:color="auto"/>
        <w:right w:val="none" w:sz="0" w:space="0" w:color="auto"/>
      </w:divBdr>
    </w:div>
    <w:div w:id="179440309">
      <w:bodyDiv w:val="1"/>
      <w:marLeft w:val="0"/>
      <w:marRight w:val="0"/>
      <w:marTop w:val="0"/>
      <w:marBottom w:val="0"/>
      <w:divBdr>
        <w:top w:val="none" w:sz="0" w:space="0" w:color="auto"/>
        <w:left w:val="none" w:sz="0" w:space="0" w:color="auto"/>
        <w:bottom w:val="none" w:sz="0" w:space="0" w:color="auto"/>
        <w:right w:val="none" w:sz="0" w:space="0" w:color="auto"/>
      </w:divBdr>
    </w:div>
    <w:div w:id="396905498">
      <w:bodyDiv w:val="1"/>
      <w:marLeft w:val="0"/>
      <w:marRight w:val="0"/>
      <w:marTop w:val="0"/>
      <w:marBottom w:val="0"/>
      <w:divBdr>
        <w:top w:val="none" w:sz="0" w:space="0" w:color="auto"/>
        <w:left w:val="none" w:sz="0" w:space="0" w:color="auto"/>
        <w:bottom w:val="none" w:sz="0" w:space="0" w:color="auto"/>
        <w:right w:val="none" w:sz="0" w:space="0" w:color="auto"/>
      </w:divBdr>
    </w:div>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719209924">
      <w:bodyDiv w:val="1"/>
      <w:marLeft w:val="0"/>
      <w:marRight w:val="0"/>
      <w:marTop w:val="0"/>
      <w:marBottom w:val="0"/>
      <w:divBdr>
        <w:top w:val="none" w:sz="0" w:space="0" w:color="auto"/>
        <w:left w:val="none" w:sz="0" w:space="0" w:color="auto"/>
        <w:bottom w:val="none" w:sz="0" w:space="0" w:color="auto"/>
        <w:right w:val="none" w:sz="0" w:space="0" w:color="auto"/>
      </w:divBdr>
    </w:div>
    <w:div w:id="725108779">
      <w:bodyDiv w:val="1"/>
      <w:marLeft w:val="0"/>
      <w:marRight w:val="0"/>
      <w:marTop w:val="0"/>
      <w:marBottom w:val="0"/>
      <w:divBdr>
        <w:top w:val="none" w:sz="0" w:space="0" w:color="auto"/>
        <w:left w:val="none" w:sz="0" w:space="0" w:color="auto"/>
        <w:bottom w:val="none" w:sz="0" w:space="0" w:color="auto"/>
        <w:right w:val="none" w:sz="0" w:space="0" w:color="auto"/>
      </w:divBdr>
    </w:div>
    <w:div w:id="803078924">
      <w:bodyDiv w:val="1"/>
      <w:marLeft w:val="0"/>
      <w:marRight w:val="0"/>
      <w:marTop w:val="0"/>
      <w:marBottom w:val="0"/>
      <w:divBdr>
        <w:top w:val="none" w:sz="0" w:space="0" w:color="auto"/>
        <w:left w:val="none" w:sz="0" w:space="0" w:color="auto"/>
        <w:bottom w:val="none" w:sz="0" w:space="0" w:color="auto"/>
        <w:right w:val="none" w:sz="0" w:space="0" w:color="auto"/>
      </w:divBdr>
    </w:div>
    <w:div w:id="1018627245">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232035303">
      <w:bodyDiv w:val="1"/>
      <w:marLeft w:val="0"/>
      <w:marRight w:val="0"/>
      <w:marTop w:val="0"/>
      <w:marBottom w:val="0"/>
      <w:divBdr>
        <w:top w:val="none" w:sz="0" w:space="0" w:color="auto"/>
        <w:left w:val="none" w:sz="0" w:space="0" w:color="auto"/>
        <w:bottom w:val="none" w:sz="0" w:space="0" w:color="auto"/>
        <w:right w:val="none" w:sz="0" w:space="0" w:color="auto"/>
      </w:divBdr>
    </w:div>
    <w:div w:id="1614944623">
      <w:bodyDiv w:val="1"/>
      <w:marLeft w:val="0"/>
      <w:marRight w:val="0"/>
      <w:marTop w:val="0"/>
      <w:marBottom w:val="0"/>
      <w:divBdr>
        <w:top w:val="none" w:sz="0" w:space="0" w:color="auto"/>
        <w:left w:val="none" w:sz="0" w:space="0" w:color="auto"/>
        <w:bottom w:val="none" w:sz="0" w:space="0" w:color="auto"/>
        <w:right w:val="none" w:sz="0" w:space="0" w:color="auto"/>
      </w:divBdr>
    </w:div>
    <w:div w:id="1658221428">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Microsoft_Excel_97-2003_Worksheet2.xls"/><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0807-2D11-4913-A071-B6E19D2A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2424</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16844</CharactersWithSpaces>
  <SharedDoc>false</SharedDoc>
  <HLinks>
    <vt:vector size="18" baseType="variant">
      <vt:variant>
        <vt:i4>2752608</vt:i4>
      </vt:variant>
      <vt:variant>
        <vt:i4>6</vt:i4>
      </vt:variant>
      <vt:variant>
        <vt:i4>0</vt:i4>
      </vt:variant>
      <vt:variant>
        <vt:i4>5</vt:i4>
      </vt:variant>
      <vt:variant>
        <vt:lpwstr>http://www.usdoj.gov/jmd/ep</vt:lpwstr>
      </vt:variant>
      <vt:variant>
        <vt:lpwstr/>
      </vt:variant>
      <vt:variant>
        <vt:i4>8126583</vt:i4>
      </vt:variant>
      <vt:variant>
        <vt:i4>3</vt:i4>
      </vt:variant>
      <vt:variant>
        <vt:i4>0</vt:i4>
      </vt:variant>
      <vt:variant>
        <vt:i4>5</vt:i4>
      </vt:variant>
      <vt:variant>
        <vt:lpwstr>http://www.justice.gov/02organizations/bpp.htm</vt:lpwstr>
      </vt:variant>
      <vt:variant>
        <vt:lpwstr/>
      </vt:variant>
      <vt:variant>
        <vt:i4>2162721</vt:i4>
      </vt:variant>
      <vt:variant>
        <vt:i4>0</vt:i4>
      </vt:variant>
      <vt:variant>
        <vt:i4>0</vt:i4>
      </vt:variant>
      <vt:variant>
        <vt:i4>5</vt:i4>
      </vt:variant>
      <vt:variant>
        <vt:lpwstr>https://max.omb.gov/community/x/woEZIQ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jhlock</cp:lastModifiedBy>
  <cp:revision>3</cp:revision>
  <cp:lastPrinted>2013-02-28T21:31:00Z</cp:lastPrinted>
  <dcterms:created xsi:type="dcterms:W3CDTF">2013-03-26T14:50:00Z</dcterms:created>
  <dcterms:modified xsi:type="dcterms:W3CDTF">2013-03-26T14:51:00Z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