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A6427" w14:textId="1B71E002" w:rsidR="002E6258" w:rsidRPr="006C5784" w:rsidRDefault="00C37AD0" w:rsidP="00E83BFA">
      <w:pPr>
        <w:spacing w:after="0" w:line="240" w:lineRule="auto"/>
        <w:rPr>
          <w:rFonts w:ascii="Tahoma" w:eastAsia="MS PGothic" w:hAnsi="Tahoma" w:cs="Tahoma"/>
          <w:kern w:val="0"/>
          <w14:ligatures w14:val="none"/>
        </w:rPr>
      </w:pPr>
      <w:bookmarkStart w:id="0" w:name="OLE_LINK3"/>
      <w:r w:rsidRPr="006C5784">
        <w:rPr>
          <w:rFonts w:ascii="Tahoma" w:hAnsi="Tahoma" w:cs="Tahoma"/>
        </w:rPr>
        <w:t xml:space="preserve">The </w:t>
      </w:r>
      <w:r w:rsidR="001E2F34" w:rsidRPr="006C5784">
        <w:rPr>
          <w:rFonts w:ascii="Tahoma" w:hAnsi="Tahoma" w:cs="Tahoma"/>
        </w:rPr>
        <w:t xml:space="preserve">Department of Justice’s (DOJ) </w:t>
      </w:r>
      <w:r w:rsidRPr="006C5784">
        <w:rPr>
          <w:rFonts w:ascii="Tahoma" w:hAnsi="Tahoma" w:cs="Tahoma"/>
        </w:rPr>
        <w:t xml:space="preserve">Office on Violence Against Women (OVW) developed this model protocol for prosecutors and prosecutors’ offices to implement </w:t>
      </w:r>
      <w:r w:rsidR="001E2F34" w:rsidRPr="006C5784">
        <w:rPr>
          <w:rFonts w:ascii="Tahoma" w:hAnsi="Tahoma" w:cs="Tahoma"/>
        </w:rPr>
        <w:t>with the goal of</w:t>
      </w:r>
      <w:r w:rsidRPr="006C5784">
        <w:rPr>
          <w:rFonts w:ascii="Tahoma" w:hAnsi="Tahoma" w:cs="Tahoma"/>
        </w:rPr>
        <w:t xml:space="preserve"> ensur</w:t>
      </w:r>
      <w:r w:rsidR="001E2F34" w:rsidRPr="006C5784">
        <w:rPr>
          <w:rFonts w:ascii="Tahoma" w:hAnsi="Tahoma" w:cs="Tahoma"/>
        </w:rPr>
        <w:t>ing</w:t>
      </w:r>
      <w:r w:rsidRPr="006C5784">
        <w:rPr>
          <w:rFonts w:ascii="Tahoma" w:hAnsi="Tahoma" w:cs="Tahoma"/>
        </w:rPr>
        <w:t xml:space="preserve"> that victims </w:t>
      </w:r>
      <w:r w:rsidR="0064100F" w:rsidRPr="006C5784">
        <w:rPr>
          <w:rFonts w:ascii="Tahoma" w:hAnsi="Tahoma" w:cs="Tahoma"/>
        </w:rPr>
        <w:t xml:space="preserve">of </w:t>
      </w:r>
      <w:r w:rsidR="001E3B9B" w:rsidRPr="006C5784">
        <w:rPr>
          <w:rFonts w:ascii="Tahoma" w:hAnsi="Tahoma" w:cs="Tahoma"/>
        </w:rPr>
        <w:t xml:space="preserve">crimes involving </w:t>
      </w:r>
      <w:r w:rsidR="0064100F" w:rsidRPr="006C5784">
        <w:rPr>
          <w:rFonts w:ascii="Tahoma" w:hAnsi="Tahoma" w:cs="Tahoma"/>
        </w:rPr>
        <w:t xml:space="preserve">sexual assault, domestic violence, dating violence, and stalking, </w:t>
      </w:r>
      <w:r w:rsidRPr="006C5784">
        <w:rPr>
          <w:rFonts w:ascii="Tahoma" w:hAnsi="Tahoma" w:cs="Tahoma"/>
        </w:rPr>
        <w:t>are rarely, if ever, arrested</w:t>
      </w:r>
      <w:r w:rsidR="00335359" w:rsidRPr="006C5784">
        <w:rPr>
          <w:rFonts w:ascii="Tahoma" w:hAnsi="Tahoma" w:cs="Tahoma"/>
        </w:rPr>
        <w:t>, detained, or held in custody</w:t>
      </w:r>
      <w:r w:rsidRPr="006C5784">
        <w:rPr>
          <w:rFonts w:ascii="Tahoma" w:hAnsi="Tahoma" w:cs="Tahoma"/>
        </w:rPr>
        <w:t xml:space="preserve"> as part of the investigation and/or prosecution of the perpetrators who victimized them. </w:t>
      </w:r>
      <w:r w:rsidR="00501ED3" w:rsidRPr="006C5784">
        <w:rPr>
          <w:rFonts w:ascii="Tahoma" w:eastAsia="MS PGothic" w:hAnsi="Tahoma" w:cs="Tahoma"/>
          <w:kern w:val="0"/>
          <w14:ligatures w14:val="none"/>
        </w:rPr>
        <w:t>It is a highly disfavored practice</w:t>
      </w:r>
      <w:r w:rsidR="002A3C37" w:rsidRPr="006C5784">
        <w:rPr>
          <w:rFonts w:ascii="Tahoma" w:eastAsia="MS PGothic" w:hAnsi="Tahoma" w:cs="Tahoma"/>
          <w:kern w:val="0"/>
          <w14:ligatures w14:val="none"/>
        </w:rPr>
        <w:t xml:space="preserve"> </w:t>
      </w:r>
      <w:r w:rsidR="003366B0" w:rsidRPr="006C5784">
        <w:rPr>
          <w:rFonts w:ascii="Tahoma" w:eastAsia="MS PGothic" w:hAnsi="Tahoma" w:cs="Tahoma"/>
          <w:kern w:val="0"/>
          <w14:ligatures w14:val="none"/>
        </w:rPr>
        <w:t xml:space="preserve">and </w:t>
      </w:r>
      <w:r w:rsidR="00572500" w:rsidRPr="006C5784">
        <w:rPr>
          <w:rFonts w:ascii="Tahoma" w:eastAsia="MS PGothic" w:hAnsi="Tahoma" w:cs="Tahoma"/>
          <w:kern w:val="0"/>
          <w14:ligatures w14:val="none"/>
        </w:rPr>
        <w:t>is</w:t>
      </w:r>
      <w:r w:rsidR="003366B0" w:rsidRPr="006C5784">
        <w:rPr>
          <w:rFonts w:ascii="Tahoma" w:eastAsia="MS PGothic" w:hAnsi="Tahoma" w:cs="Tahoma"/>
          <w:kern w:val="0"/>
          <w14:ligatures w14:val="none"/>
        </w:rPr>
        <w:t xml:space="preserve"> an option of last resort. </w:t>
      </w:r>
      <w:bookmarkStart w:id="1" w:name="OLE_LINK168"/>
      <w:bookmarkStart w:id="2" w:name="OLE_LINK169"/>
      <w:r w:rsidR="001243B9" w:rsidRPr="006C5784">
        <w:rPr>
          <w:rFonts w:ascii="Tahoma" w:eastAsia="MS PGothic" w:hAnsi="Tahoma" w:cs="Tahoma"/>
          <w:kern w:val="0"/>
          <w14:ligatures w14:val="none"/>
        </w:rPr>
        <w:t xml:space="preserve">Prosecutors </w:t>
      </w:r>
      <w:r w:rsidR="001E2F34" w:rsidRPr="006C5784">
        <w:rPr>
          <w:rFonts w:ascii="Tahoma" w:eastAsia="MS PGothic" w:hAnsi="Tahoma" w:cs="Tahoma"/>
          <w:kern w:val="0"/>
          <w14:ligatures w14:val="none"/>
        </w:rPr>
        <w:t xml:space="preserve">regularly </w:t>
      </w:r>
      <w:r w:rsidR="001243B9" w:rsidRPr="006C5784">
        <w:rPr>
          <w:rFonts w:ascii="Tahoma" w:eastAsia="MS PGothic" w:hAnsi="Tahoma" w:cs="Tahoma"/>
          <w:kern w:val="0"/>
          <w14:ligatures w14:val="none"/>
        </w:rPr>
        <w:t>build provable cases and secure victim testimony without having victim</w:t>
      </w:r>
      <w:r w:rsidR="00FA57A7" w:rsidRPr="006C5784">
        <w:rPr>
          <w:rFonts w:ascii="Tahoma" w:eastAsia="MS PGothic" w:hAnsi="Tahoma" w:cs="Tahoma"/>
          <w:kern w:val="0"/>
          <w14:ligatures w14:val="none"/>
        </w:rPr>
        <w:t>s</w:t>
      </w:r>
      <w:r w:rsidR="001243B9" w:rsidRPr="006C5784">
        <w:rPr>
          <w:rFonts w:ascii="Tahoma" w:eastAsia="MS PGothic" w:hAnsi="Tahoma" w:cs="Tahoma"/>
          <w:kern w:val="0"/>
          <w14:ligatures w14:val="none"/>
        </w:rPr>
        <w:t xml:space="preserve"> arrested </w:t>
      </w:r>
      <w:r w:rsidR="009D11AC" w:rsidRPr="006C5784">
        <w:rPr>
          <w:rFonts w:ascii="Tahoma" w:eastAsia="MS PGothic" w:hAnsi="Tahoma" w:cs="Tahoma"/>
          <w:kern w:val="0"/>
          <w14:ligatures w14:val="none"/>
        </w:rPr>
        <w:t xml:space="preserve">or detained </w:t>
      </w:r>
      <w:r w:rsidR="001243B9" w:rsidRPr="006C5784">
        <w:rPr>
          <w:rFonts w:ascii="Tahoma" w:eastAsia="MS PGothic" w:hAnsi="Tahoma" w:cs="Tahoma"/>
          <w:kern w:val="0"/>
          <w14:ligatures w14:val="none"/>
        </w:rPr>
        <w:t>to</w:t>
      </w:r>
      <w:r w:rsidR="00EE0092" w:rsidRPr="006C5784">
        <w:rPr>
          <w:rFonts w:ascii="Tahoma" w:eastAsia="MS PGothic" w:hAnsi="Tahoma" w:cs="Tahoma"/>
          <w:kern w:val="0"/>
          <w14:ligatures w14:val="none"/>
        </w:rPr>
        <w:t xml:space="preserve"> do so</w:t>
      </w:r>
      <w:bookmarkEnd w:id="1"/>
      <w:r w:rsidR="00EE0092" w:rsidRPr="006C5784">
        <w:rPr>
          <w:rFonts w:ascii="Tahoma" w:eastAsia="MS PGothic" w:hAnsi="Tahoma" w:cs="Tahoma"/>
          <w:kern w:val="0"/>
          <w14:ligatures w14:val="none"/>
        </w:rPr>
        <w:t>.</w:t>
      </w:r>
      <w:r w:rsidR="00913C6A" w:rsidRPr="006C5784">
        <w:rPr>
          <w:rFonts w:ascii="Tahoma" w:eastAsia="MS PGothic" w:hAnsi="Tahoma" w:cs="Tahoma"/>
          <w:kern w:val="0"/>
          <w14:ligatures w14:val="none"/>
        </w:rPr>
        <w:t xml:space="preserve"> </w:t>
      </w:r>
      <w:bookmarkEnd w:id="2"/>
      <w:r w:rsidR="00913C6A" w:rsidRPr="006C5784">
        <w:rPr>
          <w:rFonts w:ascii="Tahoma" w:eastAsia="MS PGothic" w:hAnsi="Tahoma" w:cs="Tahoma"/>
          <w:i/>
          <w:iCs/>
          <w:kern w:val="0"/>
          <w14:ligatures w14:val="none"/>
        </w:rPr>
        <w:t>See</w:t>
      </w:r>
      <w:r w:rsidR="00913C6A" w:rsidRPr="006C5784">
        <w:rPr>
          <w:rFonts w:ascii="Tahoma" w:eastAsia="MS PGothic" w:hAnsi="Tahoma" w:cs="Tahoma"/>
          <w:b/>
          <w:bCs/>
          <w:kern w:val="0"/>
          <w14:ligatures w14:val="none"/>
        </w:rPr>
        <w:t xml:space="preserve"> </w:t>
      </w:r>
      <w:r w:rsidR="00913C6A" w:rsidRPr="006C5784">
        <w:rPr>
          <w:rFonts w:ascii="Tahoma" w:eastAsia="MS PGothic" w:hAnsi="Tahoma" w:cs="Tahoma"/>
          <w:kern w:val="0"/>
          <w14:ligatures w14:val="none"/>
        </w:rPr>
        <w:t xml:space="preserve">the </w:t>
      </w:r>
      <w:bookmarkStart w:id="3" w:name="OLE_LINK162"/>
      <w:r w:rsidR="00913C6A" w:rsidRPr="006C5784">
        <w:fldChar w:fldCharType="begin"/>
      </w:r>
      <w:r w:rsidR="00913C6A" w:rsidRPr="006C5784">
        <w:rPr>
          <w:rFonts w:ascii="Tahoma" w:hAnsi="Tahoma" w:cs="Tahoma"/>
        </w:rPr>
        <w:instrText>HYPERLINK "https://urldefense.com/v3/__https:/www.justice.gov/ovw/media/1352371/dl?inline__;!!I47Zg8fJQnY!aea9N1-eIDJKJmL3UU_ETlZC5F1GCEeXfiRZXBMt90wviD_2VeQRX-hDeNALuGBKSEC_b0SLgoQkc-2szGL4wp-T1IxDkdMw--upSPYs$"</w:instrText>
      </w:r>
      <w:r w:rsidR="00913C6A" w:rsidRPr="006C5784">
        <w:fldChar w:fldCharType="separate"/>
      </w:r>
      <w:r w:rsidR="00913C6A" w:rsidRPr="006C5784">
        <w:rPr>
          <w:rStyle w:val="Hyperlink"/>
          <w:rFonts w:ascii="Tahoma" w:eastAsia="MS PGothic" w:hAnsi="Tahoma" w:cs="Tahoma"/>
          <w:kern w:val="0"/>
          <w14:ligatures w14:val="none"/>
        </w:rPr>
        <w:t>U.S. Department of Justice Framework for Prosecutors to Strengthen Our National Response to Sexual Assault &amp; Domestic Violence Involving Adult Victims</w:t>
      </w:r>
      <w:r w:rsidR="00913C6A" w:rsidRPr="006C5784">
        <w:rPr>
          <w:rStyle w:val="Hyperlink"/>
          <w:rFonts w:ascii="Tahoma" w:eastAsia="MS PGothic" w:hAnsi="Tahoma" w:cs="Tahoma"/>
          <w:kern w:val="0"/>
          <w14:ligatures w14:val="none"/>
        </w:rPr>
        <w:fldChar w:fldCharType="end"/>
      </w:r>
      <w:bookmarkEnd w:id="3"/>
      <w:r w:rsidR="00913C6A" w:rsidRPr="006C5784">
        <w:rPr>
          <w:rFonts w:ascii="Tahoma" w:eastAsia="MS PGothic" w:hAnsi="Tahoma" w:cs="Tahoma"/>
          <w:kern w:val="0"/>
          <w14:ligatures w14:val="none"/>
        </w:rPr>
        <w:t xml:space="preserve"> (May 2024) </w:t>
      </w:r>
      <w:r w:rsidR="003809E9" w:rsidRPr="006C5784">
        <w:rPr>
          <w:rFonts w:ascii="Tahoma" w:eastAsia="MS PGothic" w:hAnsi="Tahoma" w:cs="Tahoma"/>
          <w:kern w:val="0"/>
          <w14:ligatures w14:val="none"/>
        </w:rPr>
        <w:t>(s</w:t>
      </w:r>
      <w:r w:rsidR="00AB5743" w:rsidRPr="006C5784">
        <w:rPr>
          <w:rFonts w:ascii="Tahoma" w:eastAsia="MS PGothic" w:hAnsi="Tahoma" w:cs="Tahoma"/>
          <w:kern w:val="0"/>
          <w14:ligatures w14:val="none"/>
        </w:rPr>
        <w:t xml:space="preserve">etting forth a blueprint for </w:t>
      </w:r>
      <w:r w:rsidR="0077114E" w:rsidRPr="006C5784">
        <w:rPr>
          <w:rFonts w:ascii="Tahoma" w:eastAsia="MS PGothic" w:hAnsi="Tahoma" w:cs="Tahoma"/>
          <w:kern w:val="0"/>
          <w14:ligatures w14:val="none"/>
        </w:rPr>
        <w:t>“</w:t>
      </w:r>
      <w:r w:rsidR="00AB5743" w:rsidRPr="006C5784">
        <w:rPr>
          <w:rFonts w:ascii="Tahoma" w:eastAsia="MS PGothic" w:hAnsi="Tahoma" w:cs="Tahoma"/>
          <w:kern w:val="0"/>
          <w14:ligatures w14:val="none"/>
        </w:rPr>
        <w:t>building</w:t>
      </w:r>
      <w:r w:rsidR="008B287E" w:rsidRPr="006C5784">
        <w:rPr>
          <w:rFonts w:ascii="Tahoma" w:hAnsi="Tahoma" w:cs="Tahoma"/>
        </w:rPr>
        <w:t xml:space="preserve"> </w:t>
      </w:r>
      <w:r w:rsidR="008B287E" w:rsidRPr="006C5784">
        <w:rPr>
          <w:rFonts w:ascii="Tahoma" w:eastAsia="MS PGothic" w:hAnsi="Tahoma" w:cs="Tahoma"/>
          <w:kern w:val="0"/>
          <w14:ligatures w14:val="none"/>
        </w:rPr>
        <w:t>provable cases in a trauma-informed manner that treats victims with humanity and ensures due process for defendants</w:t>
      </w:r>
      <w:r w:rsidR="002E6258" w:rsidRPr="006C5784">
        <w:rPr>
          <w:rFonts w:ascii="Tahoma" w:eastAsia="MS PGothic" w:hAnsi="Tahoma" w:cs="Tahoma"/>
          <w:kern w:val="0"/>
          <w14:ligatures w14:val="none"/>
        </w:rPr>
        <w:t>.</w:t>
      </w:r>
      <w:r w:rsidR="0077114E" w:rsidRPr="006C5784">
        <w:rPr>
          <w:rFonts w:ascii="Tahoma" w:eastAsia="MS PGothic" w:hAnsi="Tahoma" w:cs="Tahoma"/>
          <w:kern w:val="0"/>
          <w14:ligatures w14:val="none"/>
        </w:rPr>
        <w:t>”</w:t>
      </w:r>
      <w:r w:rsidR="002E6258" w:rsidRPr="006C5784">
        <w:rPr>
          <w:rFonts w:ascii="Tahoma" w:eastAsia="MS PGothic" w:hAnsi="Tahoma" w:cs="Tahoma"/>
          <w:kern w:val="0"/>
          <w14:ligatures w14:val="none"/>
        </w:rPr>
        <w:t>)</w:t>
      </w:r>
      <w:r w:rsidR="00EE0092" w:rsidRPr="006C5784">
        <w:rPr>
          <w:rFonts w:ascii="Tahoma" w:eastAsia="MS PGothic" w:hAnsi="Tahoma" w:cs="Tahoma"/>
          <w:kern w:val="0"/>
          <w14:ligatures w14:val="none"/>
        </w:rPr>
        <w:t xml:space="preserve"> </w:t>
      </w:r>
    </w:p>
    <w:p w14:paraId="517F1DBA" w14:textId="77777777" w:rsidR="002E6258" w:rsidRPr="006C5784" w:rsidRDefault="002E6258" w:rsidP="00E83BFA">
      <w:pPr>
        <w:spacing w:after="0" w:line="240" w:lineRule="auto"/>
        <w:rPr>
          <w:rFonts w:ascii="Tahoma" w:eastAsia="MS PGothic" w:hAnsi="Tahoma" w:cs="Tahoma"/>
          <w:kern w:val="0"/>
          <w14:ligatures w14:val="none"/>
        </w:rPr>
      </w:pPr>
    </w:p>
    <w:p w14:paraId="0AAE7416" w14:textId="613B0BD0" w:rsidR="00335359" w:rsidRPr="006C5784" w:rsidRDefault="00335359" w:rsidP="0097230A">
      <w:pPr>
        <w:spacing w:after="0" w:line="240" w:lineRule="auto"/>
        <w:rPr>
          <w:rFonts w:ascii="Tahoma" w:hAnsi="Tahoma" w:cs="Tahoma"/>
        </w:rPr>
      </w:pPr>
      <w:r w:rsidRPr="006C5784">
        <w:rPr>
          <w:rFonts w:ascii="Tahoma" w:hAnsi="Tahoma" w:cs="Tahoma"/>
        </w:rPr>
        <w:t xml:space="preserve">This model protocol can be adapted and implemented by any prosecutor’s office. </w:t>
      </w:r>
      <w:r w:rsidR="009D11AC" w:rsidRPr="006C5784">
        <w:rPr>
          <w:rFonts w:ascii="Tahoma" w:hAnsi="Tahoma" w:cs="Tahoma"/>
        </w:rPr>
        <w:t>I</w:t>
      </w:r>
      <w:r w:rsidR="00C14013" w:rsidRPr="006C5784">
        <w:rPr>
          <w:rFonts w:ascii="Tahoma" w:hAnsi="Tahoma" w:cs="Tahoma"/>
        </w:rPr>
        <w:t xml:space="preserve">ntegrating it </w:t>
      </w:r>
      <w:r w:rsidR="009D11AC" w:rsidRPr="006C5784">
        <w:rPr>
          <w:rFonts w:ascii="Tahoma" w:hAnsi="Tahoma" w:cs="Tahoma"/>
        </w:rPr>
        <w:t>into</w:t>
      </w:r>
      <w:r w:rsidR="00C14013" w:rsidRPr="006C5784">
        <w:rPr>
          <w:rFonts w:ascii="Tahoma" w:hAnsi="Tahoma" w:cs="Tahoma"/>
        </w:rPr>
        <w:t xml:space="preserve"> </w:t>
      </w:r>
      <w:r w:rsidR="00FA7814" w:rsidRPr="006C5784">
        <w:rPr>
          <w:rFonts w:ascii="Tahoma" w:hAnsi="Tahoma" w:cs="Tahoma"/>
        </w:rPr>
        <w:t xml:space="preserve">a </w:t>
      </w:r>
      <w:r w:rsidR="00521702" w:rsidRPr="006C5784">
        <w:rPr>
          <w:rFonts w:ascii="Tahoma" w:hAnsi="Tahoma" w:cs="Tahoma"/>
        </w:rPr>
        <w:t>prosecutor’s</w:t>
      </w:r>
      <w:r w:rsidR="00C14013" w:rsidRPr="006C5784">
        <w:rPr>
          <w:rFonts w:ascii="Tahoma" w:hAnsi="Tahoma" w:cs="Tahoma"/>
        </w:rPr>
        <w:t xml:space="preserve"> office</w:t>
      </w:r>
      <w:r w:rsidR="00FA7814" w:rsidRPr="006C5784">
        <w:rPr>
          <w:rFonts w:ascii="Tahoma" w:hAnsi="Tahoma" w:cs="Tahoma"/>
        </w:rPr>
        <w:t xml:space="preserve"> </w:t>
      </w:r>
      <w:r w:rsidR="00C14013" w:rsidRPr="006C5784">
        <w:rPr>
          <w:rFonts w:ascii="Tahoma" w:hAnsi="Tahoma" w:cs="Tahoma"/>
        </w:rPr>
        <w:t xml:space="preserve">policy and a prosecutor’s daily practice will lessen victim re-traumatization, increase defendant accountability and community safety, and </w:t>
      </w:r>
      <w:r w:rsidR="00187663" w:rsidRPr="006C5784">
        <w:rPr>
          <w:rFonts w:ascii="Tahoma" w:hAnsi="Tahoma" w:cs="Tahoma"/>
        </w:rPr>
        <w:t>help inform sound and principled prosecutorial decision-makin</w:t>
      </w:r>
      <w:r w:rsidR="002A3C37" w:rsidRPr="006C5784">
        <w:rPr>
          <w:rFonts w:ascii="Tahoma" w:hAnsi="Tahoma" w:cs="Tahoma"/>
        </w:rPr>
        <w:t>g. It will further</w:t>
      </w:r>
      <w:r w:rsidR="0077114E" w:rsidRPr="006C5784">
        <w:rPr>
          <w:rFonts w:ascii="Tahoma" w:hAnsi="Tahoma" w:cs="Tahoma"/>
        </w:rPr>
        <w:t xml:space="preserve"> help ensure that prosecutors adhere to </w:t>
      </w:r>
      <w:r w:rsidR="00143137" w:rsidRPr="006C5784">
        <w:rPr>
          <w:rFonts w:ascii="Tahoma" w:hAnsi="Tahoma" w:cs="Tahoma"/>
        </w:rPr>
        <w:t>mandatory victims</w:t>
      </w:r>
      <w:r w:rsidR="00CD1FB3" w:rsidRPr="006C5784">
        <w:rPr>
          <w:rFonts w:ascii="Tahoma" w:hAnsi="Tahoma" w:cs="Tahoma"/>
        </w:rPr>
        <w:t>’ rights</w:t>
      </w:r>
      <w:r w:rsidR="00F22A03" w:rsidRPr="006C5784">
        <w:rPr>
          <w:rFonts w:ascii="Tahoma" w:hAnsi="Tahoma" w:cs="Tahoma"/>
        </w:rPr>
        <w:t xml:space="preserve"> statutes.</w:t>
      </w:r>
      <w:r w:rsidR="00CD1FB3" w:rsidRPr="006C5784">
        <w:rPr>
          <w:rFonts w:ascii="Tahoma" w:hAnsi="Tahoma" w:cs="Tahoma"/>
        </w:rPr>
        <w:t xml:space="preserve"> </w:t>
      </w:r>
      <w:r w:rsidR="00F22A03" w:rsidRPr="006C5784">
        <w:rPr>
          <w:rFonts w:ascii="Tahoma" w:hAnsi="Tahoma" w:cs="Tahoma"/>
          <w:i/>
          <w:iCs/>
        </w:rPr>
        <w:t>See</w:t>
      </w:r>
      <w:r w:rsidR="00F22A03" w:rsidRPr="006C5784">
        <w:rPr>
          <w:rFonts w:ascii="Tahoma" w:hAnsi="Tahoma" w:cs="Tahoma"/>
        </w:rPr>
        <w:t xml:space="preserve">, </w:t>
      </w:r>
      <w:r w:rsidR="00F22A03" w:rsidRPr="006C5784">
        <w:rPr>
          <w:rFonts w:ascii="Tahoma" w:hAnsi="Tahoma" w:cs="Tahoma"/>
          <w:i/>
          <w:iCs/>
        </w:rPr>
        <w:t>e.g.</w:t>
      </w:r>
      <w:r w:rsidR="00777DCA" w:rsidRPr="006C5784">
        <w:rPr>
          <w:rFonts w:ascii="Tahoma" w:hAnsi="Tahoma" w:cs="Tahoma"/>
        </w:rPr>
        <w:t>,</w:t>
      </w:r>
      <w:r w:rsidR="00F22A03" w:rsidRPr="006C5784">
        <w:rPr>
          <w:rFonts w:ascii="Tahoma" w:hAnsi="Tahoma" w:cs="Tahoma"/>
        </w:rPr>
        <w:t xml:space="preserve"> 18 U.S.C. § 3771</w:t>
      </w:r>
      <w:r w:rsidR="00087A04" w:rsidRPr="006C5784">
        <w:rPr>
          <w:rFonts w:ascii="Tahoma" w:hAnsi="Tahoma" w:cs="Tahoma"/>
        </w:rPr>
        <w:t xml:space="preserve"> </w:t>
      </w:r>
      <w:r w:rsidR="00F22A03" w:rsidRPr="006C5784">
        <w:rPr>
          <w:rFonts w:ascii="Tahoma" w:hAnsi="Tahoma" w:cs="Tahoma"/>
        </w:rPr>
        <w:t>(</w:t>
      </w:r>
      <w:r w:rsidR="00F041B2" w:rsidRPr="006C5784">
        <w:rPr>
          <w:rFonts w:ascii="Tahoma" w:hAnsi="Tahoma" w:cs="Tahoma"/>
        </w:rPr>
        <w:t xml:space="preserve">federal </w:t>
      </w:r>
      <w:r w:rsidR="00CD1FB3" w:rsidRPr="006C5784">
        <w:rPr>
          <w:rFonts w:ascii="Tahoma" w:hAnsi="Tahoma" w:cs="Tahoma"/>
        </w:rPr>
        <w:t>Crime Victims’ Rights Act</w:t>
      </w:r>
      <w:r w:rsidR="00F041B2" w:rsidRPr="006C5784">
        <w:rPr>
          <w:rFonts w:ascii="Tahoma" w:hAnsi="Tahoma" w:cs="Tahoma"/>
        </w:rPr>
        <w:t xml:space="preserve">, </w:t>
      </w:r>
      <w:r w:rsidR="00CF276A" w:rsidRPr="006C5784">
        <w:rPr>
          <w:rFonts w:ascii="Tahoma" w:hAnsi="Tahoma" w:cs="Tahoma"/>
        </w:rPr>
        <w:t xml:space="preserve">providing </w:t>
      </w:r>
      <w:r w:rsidR="00CD1FB3" w:rsidRPr="006C5784">
        <w:rPr>
          <w:rFonts w:ascii="Tahoma" w:hAnsi="Tahoma" w:cs="Tahoma"/>
        </w:rPr>
        <w:t xml:space="preserve">various </w:t>
      </w:r>
      <w:r w:rsidR="00CF276A" w:rsidRPr="006C5784">
        <w:rPr>
          <w:rFonts w:ascii="Tahoma" w:hAnsi="Tahoma" w:cs="Tahoma"/>
        </w:rPr>
        <w:t xml:space="preserve">statutory </w:t>
      </w:r>
      <w:r w:rsidR="00CD1FB3" w:rsidRPr="006C5784">
        <w:rPr>
          <w:rFonts w:ascii="Tahoma" w:hAnsi="Tahoma" w:cs="Tahoma"/>
        </w:rPr>
        <w:t>rights</w:t>
      </w:r>
      <w:r w:rsidR="006A7688" w:rsidRPr="006C5784">
        <w:rPr>
          <w:rFonts w:ascii="Tahoma" w:hAnsi="Tahoma" w:cs="Tahoma"/>
        </w:rPr>
        <w:t xml:space="preserve"> to victims</w:t>
      </w:r>
      <w:r w:rsidR="00C03DAA" w:rsidRPr="006C5784">
        <w:rPr>
          <w:rFonts w:ascii="Tahoma" w:hAnsi="Tahoma" w:cs="Tahoma"/>
        </w:rPr>
        <w:t>,</w:t>
      </w:r>
      <w:r w:rsidR="00CD1FB3" w:rsidRPr="006C5784">
        <w:rPr>
          <w:rFonts w:ascii="Tahoma" w:hAnsi="Tahoma" w:cs="Tahoma"/>
        </w:rPr>
        <w:t xml:space="preserve"> including the right to confer with the </w:t>
      </w:r>
      <w:r w:rsidR="00CB4F4E" w:rsidRPr="006C5784">
        <w:rPr>
          <w:rFonts w:ascii="Tahoma" w:hAnsi="Tahoma" w:cs="Tahoma"/>
        </w:rPr>
        <w:t>attorney for the government</w:t>
      </w:r>
      <w:r w:rsidR="00CD1FB3" w:rsidRPr="006C5784">
        <w:rPr>
          <w:rFonts w:ascii="Tahoma" w:hAnsi="Tahoma" w:cs="Tahoma"/>
        </w:rPr>
        <w:t xml:space="preserve"> and the right </w:t>
      </w:r>
      <w:r w:rsidR="00CF276A" w:rsidRPr="006C5784">
        <w:rPr>
          <w:rFonts w:ascii="Tahoma" w:hAnsi="Tahoma" w:cs="Tahoma"/>
        </w:rPr>
        <w:t xml:space="preserve">to </w:t>
      </w:r>
      <w:r w:rsidR="00CD1FB3" w:rsidRPr="006C5784">
        <w:rPr>
          <w:rFonts w:ascii="Tahoma" w:hAnsi="Tahoma" w:cs="Tahoma"/>
        </w:rPr>
        <w:t xml:space="preserve">be treated with fairness and </w:t>
      </w:r>
      <w:r w:rsidR="00101358" w:rsidRPr="006C5784">
        <w:rPr>
          <w:rFonts w:ascii="Tahoma" w:hAnsi="Tahoma" w:cs="Tahoma"/>
        </w:rPr>
        <w:t>respect for the victim’s dignity and privacy</w:t>
      </w:r>
      <w:r w:rsidR="00CD1FB3" w:rsidRPr="006C5784">
        <w:rPr>
          <w:rFonts w:ascii="Tahoma" w:hAnsi="Tahoma" w:cs="Tahoma"/>
        </w:rPr>
        <w:t>)</w:t>
      </w:r>
      <w:r w:rsidR="00087A04" w:rsidRPr="006C5784">
        <w:rPr>
          <w:rFonts w:ascii="Tahoma" w:hAnsi="Tahoma" w:cs="Tahoma"/>
        </w:rPr>
        <w:t>; 18 U.S.C. § 3772 (federal Sexual Assault Survivors’ Rights</w:t>
      </w:r>
      <w:r w:rsidR="004C1287" w:rsidRPr="006C5784">
        <w:rPr>
          <w:rFonts w:ascii="Tahoma" w:hAnsi="Tahoma" w:cs="Tahoma"/>
        </w:rPr>
        <w:t xml:space="preserve"> Act</w:t>
      </w:r>
      <w:r w:rsidR="00104987" w:rsidRPr="006C5784">
        <w:rPr>
          <w:rFonts w:ascii="Tahoma" w:hAnsi="Tahoma" w:cs="Tahoma"/>
        </w:rPr>
        <w:t>, providing various statutory rights to sexual assault victims regarding sexual assault forensic</w:t>
      </w:r>
      <w:r w:rsidR="006E56B0" w:rsidRPr="006C5784">
        <w:rPr>
          <w:rFonts w:ascii="Tahoma" w:hAnsi="Tahoma" w:cs="Tahoma"/>
        </w:rPr>
        <w:t xml:space="preserve"> examinations and evidence collection kits).</w:t>
      </w:r>
    </w:p>
    <w:p w14:paraId="6233BF4D" w14:textId="77777777" w:rsidR="00335359" w:rsidRPr="006C5784" w:rsidRDefault="00335359" w:rsidP="0097230A">
      <w:pPr>
        <w:spacing w:after="0" w:line="240" w:lineRule="auto"/>
        <w:rPr>
          <w:rFonts w:ascii="Tahoma" w:hAnsi="Tahoma" w:cs="Tahoma"/>
        </w:rPr>
      </w:pPr>
    </w:p>
    <w:p w14:paraId="7F35A023" w14:textId="3047217F" w:rsidR="0097230A" w:rsidRPr="006C5784" w:rsidRDefault="00634D9C" w:rsidP="0097230A">
      <w:pPr>
        <w:spacing w:after="0" w:line="240" w:lineRule="auto"/>
        <w:rPr>
          <w:rFonts w:ascii="Tahoma" w:hAnsi="Tahoma" w:cs="Tahoma"/>
        </w:rPr>
      </w:pPr>
      <w:r w:rsidRPr="006C5784">
        <w:rPr>
          <w:rFonts w:ascii="Tahoma" w:hAnsi="Tahoma" w:cs="Tahoma"/>
        </w:rPr>
        <w:t xml:space="preserve">State, local, or Tribal </w:t>
      </w:r>
      <w:r w:rsidR="00567E17" w:rsidRPr="006C5784">
        <w:rPr>
          <w:rFonts w:ascii="Tahoma" w:hAnsi="Tahoma" w:cs="Tahoma"/>
        </w:rPr>
        <w:t>p</w:t>
      </w:r>
      <w:r w:rsidR="00E83BFA" w:rsidRPr="006C5784">
        <w:rPr>
          <w:rFonts w:ascii="Tahoma" w:hAnsi="Tahoma" w:cs="Tahoma"/>
        </w:rPr>
        <w:t>rosecutors’ offices that are recipients</w:t>
      </w:r>
      <w:r w:rsidR="00BC2ABF" w:rsidRPr="006C5784">
        <w:rPr>
          <w:rFonts w:ascii="Tahoma" w:hAnsi="Tahoma" w:cs="Tahoma"/>
        </w:rPr>
        <w:t xml:space="preserve"> or subrecipients</w:t>
      </w:r>
      <w:r w:rsidR="00E83BFA" w:rsidRPr="006C5784">
        <w:rPr>
          <w:rFonts w:ascii="Tahoma" w:hAnsi="Tahoma" w:cs="Tahoma"/>
        </w:rPr>
        <w:t xml:space="preserve"> of funds under </w:t>
      </w:r>
      <w:r w:rsidR="00F018F1" w:rsidRPr="006C5784">
        <w:rPr>
          <w:rFonts w:ascii="Tahoma" w:hAnsi="Tahoma" w:cs="Tahoma"/>
        </w:rPr>
        <w:t>t</w:t>
      </w:r>
      <w:r w:rsidR="0029263F" w:rsidRPr="006C5784">
        <w:rPr>
          <w:rFonts w:ascii="Tahoma" w:hAnsi="Tahoma" w:cs="Tahoma"/>
        </w:rPr>
        <w:t xml:space="preserve">he Services* Training* Officers* Prosecutors (STOP) Violence Against Women Formula Grant Program and/or </w:t>
      </w:r>
      <w:r w:rsidR="00E83BFA" w:rsidRPr="006C5784">
        <w:rPr>
          <w:rFonts w:ascii="Tahoma" w:hAnsi="Tahoma" w:cs="Tahoma"/>
        </w:rPr>
        <w:t>the Improving Criminal Justice Response (ICJR) Progra</w:t>
      </w:r>
      <w:r w:rsidR="00F018F1" w:rsidRPr="006C5784">
        <w:rPr>
          <w:rFonts w:ascii="Tahoma" w:hAnsi="Tahoma" w:cs="Tahoma"/>
        </w:rPr>
        <w:t>m</w:t>
      </w:r>
      <w:r w:rsidR="0029263F" w:rsidRPr="006C5784">
        <w:rPr>
          <w:rFonts w:ascii="Tahoma" w:hAnsi="Tahoma" w:cs="Tahoma"/>
        </w:rPr>
        <w:t xml:space="preserve"> are required to implement such a protocol pursuant to </w:t>
      </w:r>
      <w:r w:rsidR="00F018F1" w:rsidRPr="006C5784">
        <w:rPr>
          <w:rFonts w:ascii="Tahoma" w:hAnsi="Tahoma" w:cs="Tahoma"/>
        </w:rPr>
        <w:t xml:space="preserve">34 U.S.C. </w:t>
      </w:r>
      <w:r w:rsidR="00BA272B" w:rsidRPr="006C5784">
        <w:rPr>
          <w:rFonts w:ascii="Tahoma" w:hAnsi="Tahoma" w:cs="Tahoma"/>
        </w:rPr>
        <w:t xml:space="preserve">§ </w:t>
      </w:r>
      <w:r w:rsidR="00F018F1" w:rsidRPr="006C5784">
        <w:rPr>
          <w:rFonts w:ascii="Tahoma" w:hAnsi="Tahoma" w:cs="Tahoma"/>
        </w:rPr>
        <w:t xml:space="preserve">10454(3) and </w:t>
      </w:r>
      <w:bookmarkStart w:id="4" w:name="OLE_LINK2"/>
      <w:r w:rsidR="0029263F" w:rsidRPr="006C5784">
        <w:rPr>
          <w:rFonts w:ascii="Tahoma" w:hAnsi="Tahoma" w:cs="Tahoma"/>
        </w:rPr>
        <w:t>34 U.S.C. § 10461</w:t>
      </w:r>
      <w:bookmarkEnd w:id="4"/>
      <w:r w:rsidR="0029263F" w:rsidRPr="006C5784">
        <w:rPr>
          <w:rFonts w:ascii="Tahoma" w:hAnsi="Tahoma" w:cs="Tahoma"/>
        </w:rPr>
        <w:t>(c)(1)(F)</w:t>
      </w:r>
      <w:r w:rsidR="00F018F1" w:rsidRPr="006C5784">
        <w:rPr>
          <w:rFonts w:ascii="Tahoma" w:hAnsi="Tahoma" w:cs="Tahoma"/>
        </w:rPr>
        <w:t>(iii), respectively.</w:t>
      </w:r>
      <w:r w:rsidR="00A5791B" w:rsidRPr="006C5784">
        <w:rPr>
          <w:rStyle w:val="FootnoteReference"/>
          <w:rFonts w:ascii="Tahoma" w:hAnsi="Tahoma" w:cs="Tahoma"/>
        </w:rPr>
        <w:footnoteReference w:id="2"/>
      </w:r>
      <w:r w:rsidR="0097230A" w:rsidRPr="006C5784">
        <w:rPr>
          <w:rFonts w:ascii="Tahoma" w:hAnsi="Tahoma" w:cs="Tahoma"/>
        </w:rPr>
        <w:t xml:space="preserve"> Recipients</w:t>
      </w:r>
      <w:r w:rsidR="007D1ED3" w:rsidRPr="006C5784">
        <w:rPr>
          <w:rFonts w:ascii="Tahoma" w:hAnsi="Tahoma" w:cs="Tahoma"/>
        </w:rPr>
        <w:t xml:space="preserve"> or subrecipients</w:t>
      </w:r>
      <w:r w:rsidR="0097230A" w:rsidRPr="006C5784">
        <w:rPr>
          <w:rFonts w:ascii="Tahoma" w:hAnsi="Tahoma" w:cs="Tahoma"/>
        </w:rPr>
        <w:t xml:space="preserve"> of STOP and/or ICJR funds may adapt and implement this model protocol to satisfy </w:t>
      </w:r>
      <w:r w:rsidR="005E352F" w:rsidRPr="006C5784">
        <w:rPr>
          <w:rFonts w:ascii="Tahoma" w:hAnsi="Tahoma" w:cs="Tahoma"/>
        </w:rPr>
        <w:t>this</w:t>
      </w:r>
      <w:r w:rsidR="0097230A" w:rsidRPr="006C5784">
        <w:rPr>
          <w:rFonts w:ascii="Tahoma" w:hAnsi="Tahoma" w:cs="Tahoma"/>
        </w:rPr>
        <w:t xml:space="preserve"> statutory requirement. </w:t>
      </w:r>
    </w:p>
    <w:p w14:paraId="206F8B03" w14:textId="474D4D16" w:rsidR="00E83BFA" w:rsidRPr="006C5784" w:rsidRDefault="00E83BFA" w:rsidP="0029263F">
      <w:pPr>
        <w:spacing w:after="0" w:line="240" w:lineRule="auto"/>
        <w:rPr>
          <w:rFonts w:ascii="Tahoma" w:hAnsi="Tahoma" w:cs="Tahoma"/>
        </w:rPr>
      </w:pPr>
    </w:p>
    <w:p w14:paraId="21BEACC2" w14:textId="0CB959CD" w:rsidR="00E969A9" w:rsidRDefault="00D62685" w:rsidP="00053ABA">
      <w:pPr>
        <w:tabs>
          <w:tab w:val="left" w:pos="0"/>
        </w:tabs>
        <w:spacing w:after="0" w:line="240" w:lineRule="auto"/>
        <w:rPr>
          <w:rFonts w:ascii="Tahoma" w:eastAsia="MS PGothic" w:hAnsi="Tahoma" w:cs="Tahoma"/>
          <w:kern w:val="0"/>
          <w14:ligatures w14:val="none"/>
        </w:rPr>
      </w:pPr>
      <w:r w:rsidRPr="006C5784">
        <w:rPr>
          <w:rFonts w:ascii="Tahoma" w:eastAsia="MS PGothic" w:hAnsi="Tahoma" w:cs="Tahoma"/>
          <w:kern w:val="0"/>
          <w14:ligatures w14:val="none"/>
        </w:rPr>
        <w:t>P</w:t>
      </w:r>
      <w:r w:rsidR="00187663" w:rsidRPr="006C5784">
        <w:rPr>
          <w:rFonts w:ascii="Tahoma" w:eastAsia="MS PGothic" w:hAnsi="Tahoma" w:cs="Tahoma"/>
          <w:kern w:val="0"/>
          <w14:ligatures w14:val="none"/>
        </w:rPr>
        <w:t>rosecutors’ offices</w:t>
      </w:r>
      <w:r w:rsidRPr="006C5784">
        <w:rPr>
          <w:rFonts w:ascii="Tahoma" w:eastAsia="MS PGothic" w:hAnsi="Tahoma" w:cs="Tahoma"/>
          <w:kern w:val="0"/>
          <w14:ligatures w14:val="none"/>
        </w:rPr>
        <w:t xml:space="preserve"> should</w:t>
      </w:r>
      <w:r w:rsidR="00187663" w:rsidRPr="006C5784">
        <w:rPr>
          <w:rFonts w:ascii="Tahoma" w:eastAsia="MS PGothic" w:hAnsi="Tahoma" w:cs="Tahoma"/>
          <w:kern w:val="0"/>
          <w14:ligatures w14:val="none"/>
        </w:rPr>
        <w:t xml:space="preserve"> </w:t>
      </w:r>
      <w:r w:rsidR="00751E58" w:rsidRPr="006C5784">
        <w:rPr>
          <w:rFonts w:ascii="Tahoma" w:eastAsia="MS PGothic" w:hAnsi="Tahoma" w:cs="Tahoma"/>
          <w:kern w:val="0"/>
          <w14:ligatures w14:val="none"/>
        </w:rPr>
        <w:t xml:space="preserve">supplement and </w:t>
      </w:r>
      <w:r w:rsidR="00187663" w:rsidRPr="006C5784">
        <w:rPr>
          <w:rFonts w:ascii="Tahoma" w:eastAsia="MS PGothic" w:hAnsi="Tahoma" w:cs="Tahoma"/>
          <w:kern w:val="0"/>
          <w14:ligatures w14:val="none"/>
        </w:rPr>
        <w:t xml:space="preserve">adapt </w:t>
      </w:r>
      <w:r w:rsidR="00C45992" w:rsidRPr="006C5784">
        <w:rPr>
          <w:rFonts w:ascii="Tahoma" w:eastAsia="MS PGothic" w:hAnsi="Tahoma" w:cs="Tahoma"/>
          <w:kern w:val="0"/>
          <w14:ligatures w14:val="none"/>
        </w:rPr>
        <w:t>this model protocol</w:t>
      </w:r>
      <w:r w:rsidR="00187663" w:rsidRPr="006C5784">
        <w:rPr>
          <w:rFonts w:ascii="Tahoma" w:eastAsia="MS PGothic" w:hAnsi="Tahoma" w:cs="Tahoma"/>
          <w:kern w:val="0"/>
          <w14:ligatures w14:val="none"/>
        </w:rPr>
        <w:t xml:space="preserve"> to reflect the legal vernacular</w:t>
      </w:r>
      <w:r w:rsidR="00C45992" w:rsidRPr="006C5784">
        <w:rPr>
          <w:rFonts w:ascii="Tahoma" w:eastAsia="MS PGothic" w:hAnsi="Tahoma" w:cs="Tahoma"/>
          <w:kern w:val="0"/>
          <w14:ligatures w14:val="none"/>
        </w:rPr>
        <w:t>, practices,</w:t>
      </w:r>
      <w:r w:rsidR="006A55C4" w:rsidRPr="006C5784">
        <w:rPr>
          <w:rFonts w:ascii="Tahoma" w:eastAsia="MS PGothic" w:hAnsi="Tahoma" w:cs="Tahoma"/>
          <w:kern w:val="0"/>
          <w14:ligatures w14:val="none"/>
        </w:rPr>
        <w:t xml:space="preserve"> and relevant caselaw</w:t>
      </w:r>
      <w:r w:rsidR="00187663" w:rsidRPr="006C5784">
        <w:rPr>
          <w:rFonts w:ascii="Tahoma" w:eastAsia="MS PGothic" w:hAnsi="Tahoma" w:cs="Tahoma"/>
          <w:kern w:val="0"/>
          <w14:ligatures w14:val="none"/>
        </w:rPr>
        <w:t xml:space="preserve"> of their jurisdictions.</w:t>
      </w:r>
      <w:r w:rsidR="00E969A9">
        <w:rPr>
          <w:rFonts w:ascii="Tahoma" w:eastAsia="MS PGothic" w:hAnsi="Tahoma" w:cs="Tahoma"/>
          <w:kern w:val="0"/>
          <w14:ligatures w14:val="none"/>
        </w:rPr>
        <w:br w:type="page"/>
      </w:r>
    </w:p>
    <w:p w14:paraId="792E6763" w14:textId="10A426B6" w:rsidR="00463EBF" w:rsidRPr="005E454B" w:rsidRDefault="00351D2A" w:rsidP="00E969A9">
      <w:pPr>
        <w:jc w:val="center"/>
        <w:rPr>
          <w:rFonts w:ascii="Tahoma" w:eastAsia="MS PGothic" w:hAnsi="Tahoma" w:cs="Tahoma"/>
          <w:kern w:val="0"/>
          <w14:ligatures w14:val="none"/>
        </w:rPr>
      </w:pPr>
      <w:bookmarkStart w:id="5" w:name="OLE_LINK1"/>
      <w:bookmarkEnd w:id="0"/>
      <w:r w:rsidRPr="006C5784">
        <w:rPr>
          <w:rFonts w:ascii="Tahoma" w:eastAsia="MS PGothic" w:hAnsi="Tahoma" w:cs="Tahoma"/>
          <w:b/>
          <w:bCs/>
          <w:kern w:val="0"/>
          <w14:ligatures w14:val="none"/>
        </w:rPr>
        <w:lastRenderedPageBreak/>
        <w:t>[Insert Office Name/Letterhead and amend</w:t>
      </w:r>
      <w:r w:rsidR="00463EBF" w:rsidRPr="006C5784">
        <w:rPr>
          <w:rFonts w:ascii="Tahoma" w:eastAsia="MS PGothic" w:hAnsi="Tahoma" w:cs="Tahoma"/>
          <w:b/>
          <w:bCs/>
          <w:kern w:val="0"/>
          <w14:ligatures w14:val="none"/>
        </w:rPr>
        <w:t xml:space="preserve"> as necessary]</w:t>
      </w:r>
    </w:p>
    <w:p w14:paraId="027550AE" w14:textId="5C672E17" w:rsidR="00E51ECE" w:rsidRPr="006C5784" w:rsidRDefault="004C5803" w:rsidP="00751E58">
      <w:pPr>
        <w:jc w:val="center"/>
        <w:rPr>
          <w:rFonts w:ascii="Tahoma" w:eastAsia="MS PGothic" w:hAnsi="Tahoma" w:cs="Tahoma"/>
          <w:b/>
          <w:bCs/>
          <w:kern w:val="0"/>
          <w14:ligatures w14:val="none"/>
        </w:rPr>
      </w:pPr>
      <w:r w:rsidRPr="006C5784">
        <w:rPr>
          <w:rFonts w:ascii="Tahoma" w:eastAsia="MS PGothic" w:hAnsi="Tahoma" w:cs="Tahoma"/>
          <w:b/>
          <w:bCs/>
          <w:kern w:val="0"/>
          <w14:ligatures w14:val="none"/>
        </w:rPr>
        <w:t>Protocol</w:t>
      </w:r>
      <w:r w:rsidR="002540FB" w:rsidRPr="006C5784">
        <w:rPr>
          <w:rFonts w:ascii="Tahoma" w:eastAsia="MS PGothic" w:hAnsi="Tahoma" w:cs="Tahoma"/>
          <w:b/>
          <w:bCs/>
          <w:kern w:val="0"/>
          <w14:ligatures w14:val="none"/>
        </w:rPr>
        <w:t xml:space="preserve"> </w:t>
      </w:r>
      <w:r w:rsidR="006E56B0" w:rsidRPr="006C5784">
        <w:rPr>
          <w:rFonts w:ascii="Tahoma" w:eastAsia="MS PGothic" w:hAnsi="Tahoma" w:cs="Tahoma"/>
          <w:b/>
          <w:bCs/>
          <w:kern w:val="0"/>
          <w14:ligatures w14:val="none"/>
        </w:rPr>
        <w:t>Regarding</w:t>
      </w:r>
      <w:r w:rsidRPr="006C5784">
        <w:rPr>
          <w:rFonts w:ascii="Tahoma" w:eastAsia="MS PGothic" w:hAnsi="Tahoma" w:cs="Tahoma"/>
          <w:b/>
          <w:bCs/>
          <w:kern w:val="0"/>
          <w14:ligatures w14:val="none"/>
        </w:rPr>
        <w:t xml:space="preserve"> Testimony of Victims of Sexual Assault, Domestic Violence, Dating Violence, and Stalking</w:t>
      </w:r>
      <w:r w:rsidR="003675E4" w:rsidRPr="006C5784">
        <w:rPr>
          <w:rFonts w:ascii="Tahoma" w:eastAsia="MS PGothic" w:hAnsi="Tahoma" w:cs="Tahoma"/>
          <w:b/>
          <w:bCs/>
          <w:kern w:val="0"/>
          <w14:ligatures w14:val="none"/>
        </w:rPr>
        <w:t xml:space="preserve"> </w:t>
      </w:r>
    </w:p>
    <w:bookmarkEnd w:id="5"/>
    <w:p w14:paraId="1645D18C" w14:textId="6B1FBE16" w:rsidR="0030749B" w:rsidRPr="006C5784" w:rsidRDefault="0030749B" w:rsidP="005C749B">
      <w:pPr>
        <w:pStyle w:val="ListParagraph"/>
        <w:numPr>
          <w:ilvl w:val="0"/>
          <w:numId w:val="4"/>
        </w:numPr>
        <w:rPr>
          <w:rFonts w:ascii="Tahoma" w:eastAsia="MS PGothic" w:hAnsi="Tahoma" w:cs="Tahoma"/>
          <w:kern w:val="0"/>
          <w:u w:val="single"/>
          <w14:ligatures w14:val="none"/>
        </w:rPr>
      </w:pPr>
      <w:r w:rsidRPr="006C5784">
        <w:rPr>
          <w:rFonts w:ascii="Tahoma" w:eastAsia="MS PGothic" w:hAnsi="Tahoma" w:cs="Tahoma"/>
          <w:kern w:val="0"/>
          <w:u w:val="single"/>
          <w14:ligatures w14:val="none"/>
        </w:rPr>
        <w:t>Background</w:t>
      </w:r>
    </w:p>
    <w:p w14:paraId="0BC61477" w14:textId="77777777" w:rsidR="005C749B" w:rsidRPr="006C5784" w:rsidRDefault="005C749B" w:rsidP="005C749B">
      <w:pPr>
        <w:pStyle w:val="ListParagraph"/>
        <w:ind w:left="1080"/>
        <w:rPr>
          <w:rFonts w:ascii="Tahoma" w:eastAsia="MS PGothic" w:hAnsi="Tahoma" w:cs="Tahoma"/>
          <w:kern w:val="0"/>
          <w:u w:val="single"/>
          <w14:ligatures w14:val="none"/>
        </w:rPr>
      </w:pPr>
    </w:p>
    <w:p w14:paraId="562126C7" w14:textId="3B2815AA" w:rsidR="005C749B" w:rsidRPr="006C5784" w:rsidRDefault="0030749B" w:rsidP="00C8454E">
      <w:pPr>
        <w:pStyle w:val="ListParagraph"/>
        <w:numPr>
          <w:ilvl w:val="0"/>
          <w:numId w:val="1"/>
        </w:numPr>
        <w:rPr>
          <w:rFonts w:ascii="Tahoma" w:eastAsia="MS PGothic" w:hAnsi="Tahoma" w:cs="Tahoma"/>
          <w:kern w:val="0"/>
          <w14:ligatures w14:val="none"/>
        </w:rPr>
      </w:pPr>
      <w:r w:rsidRPr="006C5784">
        <w:rPr>
          <w:rFonts w:ascii="Tahoma" w:eastAsia="MS PGothic" w:hAnsi="Tahoma" w:cs="Tahoma"/>
          <w:kern w:val="0"/>
          <w14:ligatures w14:val="none"/>
        </w:rPr>
        <w:t>This office reco</w:t>
      </w:r>
      <w:r w:rsidR="00F65ECE" w:rsidRPr="006C5784">
        <w:rPr>
          <w:rFonts w:ascii="Tahoma" w:eastAsia="MS PGothic" w:hAnsi="Tahoma" w:cs="Tahoma"/>
          <w:kern w:val="0"/>
          <w14:ligatures w14:val="none"/>
        </w:rPr>
        <w:t xml:space="preserve">gnizes the gravity of </w:t>
      </w:r>
      <w:bookmarkStart w:id="6" w:name="OLE_LINK173"/>
      <w:r w:rsidR="003B1513" w:rsidRPr="006C5784">
        <w:rPr>
          <w:rFonts w:ascii="Tahoma" w:eastAsia="MS PGothic" w:hAnsi="Tahoma" w:cs="Tahoma"/>
          <w:kern w:val="0"/>
          <w14:ligatures w14:val="none"/>
        </w:rPr>
        <w:t xml:space="preserve">crimes involving </w:t>
      </w:r>
      <w:r w:rsidR="00F65ECE" w:rsidRPr="006C5784">
        <w:rPr>
          <w:rFonts w:ascii="Tahoma" w:eastAsia="MS PGothic" w:hAnsi="Tahoma" w:cs="Tahoma"/>
          <w:kern w:val="0"/>
          <w14:ligatures w14:val="none"/>
        </w:rPr>
        <w:t>sexual assault, domestic violence, dating violence, and stalking</w:t>
      </w:r>
      <w:r w:rsidR="00307A35" w:rsidRPr="006C5784">
        <w:rPr>
          <w:rFonts w:ascii="Tahoma" w:eastAsia="MS PGothic" w:hAnsi="Tahoma" w:cs="Tahoma"/>
          <w:kern w:val="0"/>
          <w14:ligatures w14:val="none"/>
        </w:rPr>
        <w:t xml:space="preserve">, </w:t>
      </w:r>
      <w:bookmarkEnd w:id="6"/>
      <w:r w:rsidR="00307A35" w:rsidRPr="006C5784">
        <w:rPr>
          <w:rFonts w:ascii="Tahoma" w:eastAsia="MS PGothic" w:hAnsi="Tahoma" w:cs="Tahoma"/>
          <w:kern w:val="0"/>
          <w14:ligatures w14:val="none"/>
        </w:rPr>
        <w:t>and that</w:t>
      </w:r>
      <w:r w:rsidR="00F65ECE" w:rsidRPr="006C5784">
        <w:rPr>
          <w:rFonts w:ascii="Tahoma" w:eastAsia="MS PGothic" w:hAnsi="Tahoma" w:cs="Tahoma"/>
          <w:kern w:val="0"/>
          <w14:ligatures w14:val="none"/>
        </w:rPr>
        <w:t xml:space="preserve"> </w:t>
      </w:r>
      <w:r w:rsidR="00307A35" w:rsidRPr="006C5784">
        <w:rPr>
          <w:rFonts w:ascii="Tahoma" w:eastAsia="MS PGothic" w:hAnsi="Tahoma" w:cs="Tahoma"/>
          <w:kern w:val="0"/>
          <w14:ligatures w14:val="none"/>
        </w:rPr>
        <w:t>t</w:t>
      </w:r>
      <w:r w:rsidR="00F65ECE" w:rsidRPr="006C5784">
        <w:rPr>
          <w:rFonts w:ascii="Tahoma" w:eastAsia="MS PGothic" w:hAnsi="Tahoma" w:cs="Tahoma"/>
          <w:kern w:val="0"/>
          <w14:ligatures w14:val="none"/>
        </w:rPr>
        <w:t>hese</w:t>
      </w:r>
      <w:r w:rsidR="00972D21" w:rsidRPr="006C5784">
        <w:rPr>
          <w:rFonts w:ascii="Tahoma" w:eastAsia="MS PGothic" w:hAnsi="Tahoma" w:cs="Tahoma"/>
          <w:kern w:val="0"/>
          <w14:ligatures w14:val="none"/>
        </w:rPr>
        <w:t xml:space="preserve"> crimes pose a significant public health and safety threat</w:t>
      </w:r>
      <w:r w:rsidR="00307A35" w:rsidRPr="006C5784">
        <w:rPr>
          <w:rFonts w:ascii="Tahoma" w:eastAsia="MS PGothic" w:hAnsi="Tahoma" w:cs="Tahoma"/>
          <w:kern w:val="0"/>
          <w14:ligatures w14:val="none"/>
        </w:rPr>
        <w:t>. T</w:t>
      </w:r>
      <w:r w:rsidR="00972D21" w:rsidRPr="006C5784">
        <w:rPr>
          <w:rFonts w:ascii="Tahoma" w:eastAsia="MS PGothic" w:hAnsi="Tahoma" w:cs="Tahoma"/>
          <w:kern w:val="0"/>
          <w14:ligatures w14:val="none"/>
        </w:rPr>
        <w:t>his office takes these allegations seriously</w:t>
      </w:r>
      <w:r w:rsidR="00D8391A" w:rsidRPr="006C5784">
        <w:rPr>
          <w:rFonts w:ascii="Tahoma" w:eastAsia="MS PGothic" w:hAnsi="Tahoma" w:cs="Tahoma"/>
          <w:kern w:val="0"/>
          <w14:ligatures w14:val="none"/>
        </w:rPr>
        <w:t xml:space="preserve"> and </w:t>
      </w:r>
      <w:r w:rsidR="00C0181F" w:rsidRPr="006C5784">
        <w:rPr>
          <w:rFonts w:ascii="Tahoma" w:eastAsia="MS PGothic" w:hAnsi="Tahoma" w:cs="Tahoma"/>
          <w:kern w:val="0"/>
          <w14:ligatures w14:val="none"/>
        </w:rPr>
        <w:t xml:space="preserve">is committed to </w:t>
      </w:r>
      <w:r w:rsidR="00D8391A" w:rsidRPr="006C5784">
        <w:rPr>
          <w:rFonts w:ascii="Tahoma" w:eastAsia="MS PGothic" w:hAnsi="Tahoma" w:cs="Tahoma"/>
          <w:kern w:val="0"/>
          <w14:ligatures w14:val="none"/>
        </w:rPr>
        <w:t xml:space="preserve">investigating them thoroughly. It </w:t>
      </w:r>
      <w:r w:rsidR="00307A35" w:rsidRPr="006C5784">
        <w:rPr>
          <w:rFonts w:ascii="Tahoma" w:eastAsia="MS PGothic" w:hAnsi="Tahoma" w:cs="Tahoma"/>
          <w:kern w:val="0"/>
          <w14:ligatures w14:val="none"/>
        </w:rPr>
        <w:t>is</w:t>
      </w:r>
      <w:r w:rsidR="00C0181F" w:rsidRPr="006C5784">
        <w:rPr>
          <w:rFonts w:ascii="Tahoma" w:eastAsia="MS PGothic" w:hAnsi="Tahoma" w:cs="Tahoma"/>
          <w:kern w:val="0"/>
          <w14:ligatures w14:val="none"/>
        </w:rPr>
        <w:t xml:space="preserve"> further</w:t>
      </w:r>
      <w:r w:rsidR="00307A35" w:rsidRPr="006C5784">
        <w:rPr>
          <w:rFonts w:ascii="Tahoma" w:eastAsia="MS PGothic" w:hAnsi="Tahoma" w:cs="Tahoma"/>
          <w:kern w:val="0"/>
          <w14:ligatures w14:val="none"/>
        </w:rPr>
        <w:t xml:space="preserve"> committed to ensuring offender accountability</w:t>
      </w:r>
      <w:r w:rsidR="00BD1707" w:rsidRPr="006C5784">
        <w:rPr>
          <w:rFonts w:ascii="Tahoma" w:eastAsia="MS PGothic" w:hAnsi="Tahoma" w:cs="Tahoma"/>
          <w:kern w:val="0"/>
          <w14:ligatures w14:val="none"/>
        </w:rPr>
        <w:t xml:space="preserve"> while </w:t>
      </w:r>
      <w:r w:rsidR="003B1513" w:rsidRPr="006C5784">
        <w:rPr>
          <w:rFonts w:ascii="Tahoma" w:eastAsia="MS PGothic" w:hAnsi="Tahoma" w:cs="Tahoma"/>
          <w:kern w:val="0"/>
          <w14:ligatures w14:val="none"/>
        </w:rPr>
        <w:t>upholding defendants’</w:t>
      </w:r>
      <w:r w:rsidR="00BD1707" w:rsidRPr="006C5784">
        <w:rPr>
          <w:rFonts w:ascii="Tahoma" w:eastAsia="MS PGothic" w:hAnsi="Tahoma" w:cs="Tahoma"/>
          <w:kern w:val="0"/>
          <w14:ligatures w14:val="none"/>
        </w:rPr>
        <w:t xml:space="preserve"> constitutional rights</w:t>
      </w:r>
      <w:r w:rsidR="003B1513" w:rsidRPr="006C5784">
        <w:rPr>
          <w:rFonts w:ascii="Tahoma" w:eastAsia="MS PGothic" w:hAnsi="Tahoma" w:cs="Tahoma"/>
          <w:kern w:val="0"/>
          <w14:ligatures w14:val="none"/>
        </w:rPr>
        <w:t>,</w:t>
      </w:r>
      <w:r w:rsidR="00307A35" w:rsidRPr="006C5784">
        <w:rPr>
          <w:rFonts w:ascii="Tahoma" w:eastAsia="MS PGothic" w:hAnsi="Tahoma" w:cs="Tahoma"/>
          <w:kern w:val="0"/>
          <w14:ligatures w14:val="none"/>
        </w:rPr>
        <w:t xml:space="preserve"> increasing community safety, and lessening victim re-traumatization.</w:t>
      </w:r>
      <w:r w:rsidR="00972D21" w:rsidRPr="006C5784">
        <w:rPr>
          <w:rFonts w:ascii="Tahoma" w:eastAsia="MS PGothic" w:hAnsi="Tahoma" w:cs="Tahoma"/>
          <w:kern w:val="0"/>
          <w14:ligatures w14:val="none"/>
        </w:rPr>
        <w:t xml:space="preserve"> </w:t>
      </w:r>
    </w:p>
    <w:p w14:paraId="3D3FDD7F" w14:textId="77777777" w:rsidR="005C749B" w:rsidRPr="006C5784" w:rsidRDefault="005C749B" w:rsidP="005C749B">
      <w:pPr>
        <w:pStyle w:val="ListParagraph"/>
        <w:ind w:left="360"/>
        <w:rPr>
          <w:rFonts w:ascii="Tahoma" w:eastAsia="MS PGothic" w:hAnsi="Tahoma" w:cs="Tahoma"/>
          <w:kern w:val="0"/>
          <w14:ligatures w14:val="none"/>
        </w:rPr>
      </w:pPr>
    </w:p>
    <w:p w14:paraId="1243F6FF" w14:textId="449EE528" w:rsidR="005F547C" w:rsidRPr="006C5784" w:rsidRDefault="00FA11EC" w:rsidP="005F547C">
      <w:pPr>
        <w:pStyle w:val="ListParagraph"/>
        <w:numPr>
          <w:ilvl w:val="0"/>
          <w:numId w:val="1"/>
        </w:numPr>
        <w:rPr>
          <w:rFonts w:ascii="Tahoma" w:eastAsia="MS PGothic" w:hAnsi="Tahoma" w:cs="Tahoma"/>
          <w:kern w:val="0"/>
          <w14:ligatures w14:val="none"/>
        </w:rPr>
      </w:pPr>
      <w:r w:rsidRPr="006C5784">
        <w:rPr>
          <w:rFonts w:ascii="Tahoma" w:eastAsia="MS PGothic" w:hAnsi="Tahoma" w:cs="Tahoma"/>
        </w:rPr>
        <w:t>T</w:t>
      </w:r>
      <w:r w:rsidR="00590F0A" w:rsidRPr="006C5784">
        <w:rPr>
          <w:rFonts w:ascii="Tahoma" w:eastAsia="MS PGothic" w:hAnsi="Tahoma" w:cs="Tahoma"/>
          <w:kern w:val="0"/>
          <w14:ligatures w14:val="none"/>
        </w:rPr>
        <w:t>he policies</w:t>
      </w:r>
      <w:r w:rsidR="0024299E" w:rsidRPr="006C5784">
        <w:rPr>
          <w:rFonts w:ascii="Tahoma" w:eastAsia="MS PGothic" w:hAnsi="Tahoma" w:cs="Tahoma"/>
          <w:kern w:val="0"/>
          <w14:ligatures w14:val="none"/>
        </w:rPr>
        <w:t xml:space="preserve"> and practices</w:t>
      </w:r>
      <w:r w:rsidR="00590F0A" w:rsidRPr="006C5784">
        <w:rPr>
          <w:rFonts w:ascii="Tahoma" w:eastAsia="MS PGothic" w:hAnsi="Tahoma" w:cs="Tahoma"/>
          <w:kern w:val="0"/>
          <w14:ligatures w14:val="none"/>
        </w:rPr>
        <w:t xml:space="preserve"> of this office </w:t>
      </w:r>
      <w:r w:rsidR="005C749B" w:rsidRPr="006C5784">
        <w:rPr>
          <w:rFonts w:ascii="Tahoma" w:eastAsia="MS PGothic" w:hAnsi="Tahoma" w:cs="Tahoma"/>
          <w:kern w:val="0"/>
          <w14:ligatures w14:val="none"/>
        </w:rPr>
        <w:t>related</w:t>
      </w:r>
      <w:r w:rsidR="00590F0A" w:rsidRPr="006C5784">
        <w:rPr>
          <w:rFonts w:ascii="Tahoma" w:eastAsia="MS PGothic" w:hAnsi="Tahoma" w:cs="Tahoma"/>
          <w:kern w:val="0"/>
          <w14:ligatures w14:val="none"/>
        </w:rPr>
        <w:t xml:space="preserve"> to the investigation and prosecution of these crimes</w:t>
      </w:r>
      <w:r w:rsidR="00DF2896" w:rsidRPr="006C5784">
        <w:rPr>
          <w:rFonts w:ascii="Tahoma" w:eastAsia="MS PGothic" w:hAnsi="Tahoma" w:cs="Tahoma"/>
        </w:rPr>
        <w:t xml:space="preserve"> have been </w:t>
      </w:r>
      <w:r w:rsidR="00B85515" w:rsidRPr="006C5784">
        <w:rPr>
          <w:rFonts w:ascii="Tahoma" w:eastAsia="MS PGothic" w:hAnsi="Tahoma" w:cs="Tahoma"/>
        </w:rPr>
        <w:t>guided by</w:t>
      </w:r>
      <w:r w:rsidR="0030749B" w:rsidRPr="006C5784">
        <w:rPr>
          <w:rFonts w:ascii="Tahoma" w:eastAsia="MS PGothic" w:hAnsi="Tahoma" w:cs="Tahoma"/>
          <w:kern w:val="0"/>
          <w14:ligatures w14:val="none"/>
        </w:rPr>
        <w:t xml:space="preserve"> the principles set forth in the </w:t>
      </w:r>
      <w:hyperlink r:id="rId8" w:history="1">
        <w:r w:rsidR="0030749B" w:rsidRPr="006C5784">
          <w:rPr>
            <w:rStyle w:val="Hyperlink"/>
            <w:rFonts w:ascii="Tahoma" w:eastAsia="MS PGothic" w:hAnsi="Tahoma" w:cs="Tahoma"/>
            <w:color w:val="002060"/>
            <w:kern w:val="0"/>
            <w14:ligatures w14:val="none"/>
          </w:rPr>
          <w:t>U.S. Department of Justice Framework for Prosecutors to Strengthen Our National Response to Sexual Assault &amp; Domestic Violence Involving Adult Victims</w:t>
        </w:r>
      </w:hyperlink>
      <w:r w:rsidR="00307A35" w:rsidRPr="006C5784">
        <w:rPr>
          <w:rFonts w:ascii="Tahoma" w:eastAsia="MS PGothic" w:hAnsi="Tahoma" w:cs="Tahoma"/>
          <w:kern w:val="0"/>
          <w14:ligatures w14:val="none"/>
        </w:rPr>
        <w:t xml:space="preserve"> (DOJ Prosecut</w:t>
      </w:r>
      <w:r w:rsidR="00FC5A57" w:rsidRPr="006C5784">
        <w:rPr>
          <w:rFonts w:ascii="Tahoma" w:eastAsia="MS PGothic" w:hAnsi="Tahoma" w:cs="Tahoma"/>
        </w:rPr>
        <w:t>or</w:t>
      </w:r>
      <w:r w:rsidR="00143137" w:rsidRPr="006C5784">
        <w:rPr>
          <w:rFonts w:ascii="Tahoma" w:eastAsia="MS PGothic" w:hAnsi="Tahoma" w:cs="Tahoma"/>
        </w:rPr>
        <w:t>s’</w:t>
      </w:r>
      <w:r w:rsidR="00307A35" w:rsidRPr="006C5784">
        <w:rPr>
          <w:rFonts w:ascii="Tahoma" w:eastAsia="MS PGothic" w:hAnsi="Tahoma" w:cs="Tahoma"/>
          <w:kern w:val="0"/>
          <w14:ligatures w14:val="none"/>
        </w:rPr>
        <w:t xml:space="preserve"> </w:t>
      </w:r>
      <w:r w:rsidR="00184269" w:rsidRPr="006C5784">
        <w:rPr>
          <w:rFonts w:ascii="Tahoma" w:eastAsia="MS PGothic" w:hAnsi="Tahoma" w:cs="Tahoma"/>
        </w:rPr>
        <w:t>Framework</w:t>
      </w:r>
      <w:r w:rsidR="00307A35" w:rsidRPr="006C5784">
        <w:rPr>
          <w:rFonts w:ascii="Tahoma" w:eastAsia="MS PGothic" w:hAnsi="Tahoma" w:cs="Tahoma"/>
          <w:kern w:val="0"/>
          <w14:ligatures w14:val="none"/>
        </w:rPr>
        <w:t>)</w:t>
      </w:r>
      <w:r w:rsidR="0030749B" w:rsidRPr="006C5784">
        <w:rPr>
          <w:rFonts w:ascii="Tahoma" w:eastAsia="MS PGothic" w:hAnsi="Tahoma" w:cs="Tahoma"/>
          <w:kern w:val="0"/>
          <w14:ligatures w14:val="none"/>
        </w:rPr>
        <w:t xml:space="preserve">. </w:t>
      </w:r>
      <w:r w:rsidR="00FC5A57" w:rsidRPr="006C5784">
        <w:rPr>
          <w:rFonts w:ascii="Tahoma" w:eastAsia="MS PGothic" w:hAnsi="Tahoma" w:cs="Tahoma"/>
          <w:kern w:val="0"/>
          <w14:ligatures w14:val="none"/>
        </w:rPr>
        <w:t>The p</w:t>
      </w:r>
      <w:r w:rsidR="0030749B" w:rsidRPr="006C5784">
        <w:rPr>
          <w:rFonts w:ascii="Tahoma" w:eastAsia="MS PGothic" w:hAnsi="Tahoma" w:cs="Tahoma"/>
          <w:kern w:val="0"/>
          <w14:ligatures w14:val="none"/>
        </w:rPr>
        <w:t>urpose</w:t>
      </w:r>
      <w:r w:rsidR="00FC5A57" w:rsidRPr="006C5784">
        <w:rPr>
          <w:rFonts w:ascii="Tahoma" w:eastAsia="MS PGothic" w:hAnsi="Tahoma" w:cs="Tahoma"/>
          <w:kern w:val="0"/>
          <w14:ligatures w14:val="none"/>
        </w:rPr>
        <w:t xml:space="preserve"> of the </w:t>
      </w:r>
      <w:r w:rsidR="002D2B09" w:rsidRPr="006C5784">
        <w:rPr>
          <w:rFonts w:ascii="Tahoma" w:eastAsia="MS PGothic" w:hAnsi="Tahoma" w:cs="Tahoma"/>
          <w:kern w:val="0"/>
          <w14:ligatures w14:val="none"/>
        </w:rPr>
        <w:t xml:space="preserve">DOJ </w:t>
      </w:r>
      <w:r w:rsidR="00FC5A57" w:rsidRPr="006C5784">
        <w:rPr>
          <w:rFonts w:ascii="Tahoma" w:eastAsia="MS PGothic" w:hAnsi="Tahoma" w:cs="Tahoma"/>
          <w:kern w:val="0"/>
          <w14:ligatures w14:val="none"/>
        </w:rPr>
        <w:t>Prosecutor</w:t>
      </w:r>
      <w:r w:rsidR="002D2B09" w:rsidRPr="006C5784">
        <w:rPr>
          <w:rFonts w:ascii="Tahoma" w:eastAsia="MS PGothic" w:hAnsi="Tahoma" w:cs="Tahoma"/>
          <w:kern w:val="0"/>
          <w14:ligatures w14:val="none"/>
        </w:rPr>
        <w:t>s’</w:t>
      </w:r>
      <w:r w:rsidR="00FC5A57" w:rsidRPr="006C5784">
        <w:rPr>
          <w:rFonts w:ascii="Tahoma" w:eastAsia="MS PGothic" w:hAnsi="Tahoma" w:cs="Tahoma"/>
          <w:kern w:val="0"/>
          <w14:ligatures w14:val="none"/>
        </w:rPr>
        <w:t xml:space="preserve"> Fr</w:t>
      </w:r>
      <w:r w:rsidR="00FE4689" w:rsidRPr="006C5784">
        <w:rPr>
          <w:rFonts w:ascii="Tahoma" w:eastAsia="MS PGothic" w:hAnsi="Tahoma" w:cs="Tahoma"/>
          <w:kern w:val="0"/>
          <w14:ligatures w14:val="none"/>
        </w:rPr>
        <w:t>amework</w:t>
      </w:r>
      <w:r w:rsidR="0030749B" w:rsidRPr="006C5784">
        <w:rPr>
          <w:rFonts w:ascii="Tahoma" w:eastAsia="MS PGothic" w:hAnsi="Tahoma" w:cs="Tahoma"/>
          <w:kern w:val="0"/>
          <w14:ligatures w14:val="none"/>
        </w:rPr>
        <w:t xml:space="preserve"> is</w:t>
      </w:r>
      <w:r w:rsidR="00307A35" w:rsidRPr="006C5784">
        <w:rPr>
          <w:rFonts w:ascii="Tahoma" w:eastAsia="MS PGothic" w:hAnsi="Tahoma" w:cs="Tahoma"/>
          <w:kern w:val="0"/>
          <w14:ligatures w14:val="none"/>
        </w:rPr>
        <w:t xml:space="preserve"> to reduce declinations of meritorious allegations and</w:t>
      </w:r>
      <w:r w:rsidR="001F314E" w:rsidRPr="006C5784">
        <w:rPr>
          <w:rFonts w:ascii="Tahoma" w:eastAsia="MS PGothic" w:hAnsi="Tahoma" w:cs="Tahoma"/>
          <w:kern w:val="0"/>
          <w14:ligatures w14:val="none"/>
        </w:rPr>
        <w:t xml:space="preserve"> to</w:t>
      </w:r>
      <w:r w:rsidR="0030749B" w:rsidRPr="006C5784">
        <w:rPr>
          <w:rFonts w:ascii="Tahoma" w:eastAsia="MS PGothic" w:hAnsi="Tahoma" w:cs="Tahoma"/>
          <w:kern w:val="0"/>
          <w14:ligatures w14:val="none"/>
        </w:rPr>
        <w:t xml:space="preserve"> </w:t>
      </w:r>
      <w:r w:rsidR="001F314E" w:rsidRPr="006C5784">
        <w:rPr>
          <w:rFonts w:ascii="Tahoma" w:eastAsia="MS PGothic" w:hAnsi="Tahoma" w:cs="Tahoma"/>
          <w:kern w:val="0"/>
          <w14:ligatures w14:val="none"/>
        </w:rPr>
        <w:t>“equip prosecutors to build provable cases in a trauma-informed manner that treats victims with humanity and ensures due process for defendants</w:t>
      </w:r>
      <w:r w:rsidR="004045F5" w:rsidRPr="006C5784">
        <w:rPr>
          <w:rFonts w:ascii="Tahoma" w:eastAsia="MS PGothic" w:hAnsi="Tahoma" w:cs="Tahoma"/>
          <w:kern w:val="0"/>
          <w14:ligatures w14:val="none"/>
        </w:rPr>
        <w:t>.”</w:t>
      </w:r>
      <w:r w:rsidR="00307A35" w:rsidRPr="006C5784">
        <w:rPr>
          <w:rFonts w:ascii="Tahoma" w:eastAsia="MS PGothic" w:hAnsi="Tahoma" w:cs="Tahoma"/>
          <w:kern w:val="0"/>
          <w14:ligatures w14:val="none"/>
        </w:rPr>
        <w:t xml:space="preserve"> </w:t>
      </w:r>
    </w:p>
    <w:p w14:paraId="758534B5" w14:textId="77777777" w:rsidR="005F547C" w:rsidRPr="006C5784" w:rsidRDefault="005F547C" w:rsidP="005F547C">
      <w:pPr>
        <w:pStyle w:val="ListParagraph"/>
        <w:ind w:left="360"/>
        <w:rPr>
          <w:rFonts w:ascii="Tahoma" w:eastAsia="MS PGothic" w:hAnsi="Tahoma" w:cs="Tahoma"/>
          <w:kern w:val="0"/>
          <w14:ligatures w14:val="none"/>
        </w:rPr>
      </w:pPr>
    </w:p>
    <w:p w14:paraId="75296FF8" w14:textId="64E14959" w:rsidR="0030749B" w:rsidRPr="006C5784" w:rsidRDefault="00A423C2" w:rsidP="00A86212">
      <w:pPr>
        <w:pStyle w:val="ListParagraph"/>
        <w:numPr>
          <w:ilvl w:val="0"/>
          <w:numId w:val="1"/>
        </w:numPr>
        <w:rPr>
          <w:rFonts w:ascii="Tahoma" w:eastAsia="MS PGothic" w:hAnsi="Tahoma" w:cs="Tahoma"/>
          <w:kern w:val="0"/>
          <w14:ligatures w14:val="none"/>
        </w:rPr>
      </w:pPr>
      <w:r w:rsidRPr="006C5784">
        <w:rPr>
          <w:rFonts w:ascii="Tahoma" w:eastAsia="MS PGothic" w:hAnsi="Tahoma" w:cs="Tahoma"/>
          <w:kern w:val="0"/>
          <w14:ligatures w14:val="none"/>
        </w:rPr>
        <w:t xml:space="preserve">Every prosecutor </w:t>
      </w:r>
      <w:r w:rsidR="00307A35" w:rsidRPr="006C5784">
        <w:rPr>
          <w:rFonts w:ascii="Tahoma" w:eastAsia="MS PGothic" w:hAnsi="Tahoma" w:cs="Tahoma"/>
          <w:kern w:val="0"/>
          <w14:ligatures w14:val="none"/>
        </w:rPr>
        <w:t xml:space="preserve">handling </w:t>
      </w:r>
      <w:r w:rsidRPr="006C5784">
        <w:rPr>
          <w:rFonts w:ascii="Tahoma" w:eastAsia="MS PGothic" w:hAnsi="Tahoma" w:cs="Tahoma"/>
          <w:kern w:val="0"/>
          <w14:ligatures w14:val="none"/>
        </w:rPr>
        <w:t xml:space="preserve">one of </w:t>
      </w:r>
      <w:r w:rsidR="00307A35" w:rsidRPr="006C5784">
        <w:rPr>
          <w:rFonts w:ascii="Tahoma" w:eastAsia="MS PGothic" w:hAnsi="Tahoma" w:cs="Tahoma"/>
          <w:kern w:val="0"/>
          <w14:ligatures w14:val="none"/>
        </w:rPr>
        <w:t>these case</w:t>
      </w:r>
      <w:r w:rsidRPr="006C5784">
        <w:rPr>
          <w:rFonts w:ascii="Tahoma" w:eastAsia="MS PGothic" w:hAnsi="Tahoma" w:cs="Tahoma"/>
          <w:kern w:val="0"/>
          <w14:ligatures w14:val="none"/>
        </w:rPr>
        <w:t>s</w:t>
      </w:r>
      <w:r w:rsidR="00307A35" w:rsidRPr="006C5784">
        <w:rPr>
          <w:rFonts w:ascii="Tahoma" w:eastAsia="MS PGothic" w:hAnsi="Tahoma" w:cs="Tahoma"/>
          <w:kern w:val="0"/>
          <w14:ligatures w14:val="none"/>
        </w:rPr>
        <w:t xml:space="preserve"> </w:t>
      </w:r>
      <w:r w:rsidR="001E2F34" w:rsidRPr="006C5784">
        <w:rPr>
          <w:rFonts w:ascii="Tahoma" w:eastAsia="MS PGothic" w:hAnsi="Tahoma" w:cs="Tahoma"/>
          <w:kern w:val="0"/>
          <w14:ligatures w14:val="none"/>
        </w:rPr>
        <w:t>should</w:t>
      </w:r>
      <w:r w:rsidR="008414D8" w:rsidRPr="006C5784">
        <w:rPr>
          <w:rFonts w:ascii="Tahoma" w:eastAsia="MS PGothic" w:hAnsi="Tahoma" w:cs="Tahoma"/>
          <w:kern w:val="0"/>
          <w14:ligatures w14:val="none"/>
        </w:rPr>
        <w:t xml:space="preserve"> </w:t>
      </w:r>
      <w:r w:rsidR="00307A35" w:rsidRPr="006C5784">
        <w:rPr>
          <w:rFonts w:ascii="Tahoma" w:eastAsia="MS PGothic" w:hAnsi="Tahoma" w:cs="Tahoma"/>
          <w:kern w:val="0"/>
          <w14:ligatures w14:val="none"/>
        </w:rPr>
        <w:t>read</w:t>
      </w:r>
      <w:r w:rsidRPr="006C5784">
        <w:rPr>
          <w:rFonts w:ascii="Tahoma" w:eastAsia="MS PGothic" w:hAnsi="Tahoma" w:cs="Tahoma"/>
          <w:kern w:val="0"/>
          <w14:ligatures w14:val="none"/>
        </w:rPr>
        <w:t xml:space="preserve"> the DOJ Prosecut</w:t>
      </w:r>
      <w:r w:rsidR="00FE4689" w:rsidRPr="006C5784">
        <w:rPr>
          <w:rFonts w:ascii="Tahoma" w:eastAsia="MS PGothic" w:hAnsi="Tahoma" w:cs="Tahoma"/>
        </w:rPr>
        <w:t>or</w:t>
      </w:r>
      <w:r w:rsidR="002D2B09" w:rsidRPr="006C5784">
        <w:rPr>
          <w:rFonts w:ascii="Tahoma" w:eastAsia="MS PGothic" w:hAnsi="Tahoma" w:cs="Tahoma"/>
        </w:rPr>
        <w:t>s’</w:t>
      </w:r>
      <w:r w:rsidR="59207D04" w:rsidRPr="006C5784">
        <w:rPr>
          <w:rFonts w:ascii="Tahoma" w:eastAsia="MS PGothic" w:hAnsi="Tahoma" w:cs="Tahoma"/>
          <w:kern w:val="0"/>
          <w14:ligatures w14:val="none"/>
        </w:rPr>
        <w:t xml:space="preserve"> Framework</w:t>
      </w:r>
      <w:r w:rsidRPr="006C5784">
        <w:rPr>
          <w:rFonts w:ascii="Tahoma" w:eastAsia="MS PGothic" w:hAnsi="Tahoma" w:cs="Tahoma"/>
          <w:kern w:val="0"/>
          <w14:ligatures w14:val="none"/>
        </w:rPr>
        <w:t xml:space="preserve">, found in the link above or at </w:t>
      </w:r>
      <w:hyperlink r:id="rId9" w:history="1">
        <w:r w:rsidRPr="006C5784">
          <w:rPr>
            <w:rStyle w:val="Hyperlink"/>
            <w:rFonts w:ascii="Tahoma" w:eastAsia="MS PGothic" w:hAnsi="Tahoma" w:cs="Tahoma"/>
            <w:color w:val="002060"/>
            <w:kern w:val="0"/>
            <w14:ligatures w14:val="none"/>
          </w:rPr>
          <w:t>https://www.justice.gov/ovw/prosecutor-guide</w:t>
        </w:r>
      </w:hyperlink>
      <w:r w:rsidR="00942AF1" w:rsidRPr="006C5784">
        <w:rPr>
          <w:rFonts w:ascii="Tahoma" w:eastAsia="MS PGothic" w:hAnsi="Tahoma" w:cs="Tahoma"/>
          <w:color w:val="002060"/>
          <w:kern w:val="0"/>
          <w14:ligatures w14:val="none"/>
        </w:rPr>
        <w:t xml:space="preserve">, </w:t>
      </w:r>
      <w:r w:rsidR="00942AF1" w:rsidRPr="006C5784">
        <w:rPr>
          <w:rFonts w:ascii="Tahoma" w:eastAsia="MS PGothic" w:hAnsi="Tahoma" w:cs="Tahoma"/>
          <w:kern w:val="0"/>
          <w14:ligatures w14:val="none"/>
        </w:rPr>
        <w:t>wh</w:t>
      </w:r>
      <w:r w:rsidR="00290FE4" w:rsidRPr="006C5784">
        <w:rPr>
          <w:rFonts w:ascii="Tahoma" w:eastAsia="MS PGothic" w:hAnsi="Tahoma" w:cs="Tahoma"/>
          <w:kern w:val="0"/>
          <w14:ligatures w14:val="none"/>
        </w:rPr>
        <w:t xml:space="preserve">ich also includes </w:t>
      </w:r>
      <w:r w:rsidR="00C250B8" w:rsidRPr="006C5784">
        <w:rPr>
          <w:rFonts w:ascii="Tahoma" w:eastAsia="MS PGothic" w:hAnsi="Tahoma" w:cs="Tahoma"/>
          <w:kern w:val="0"/>
          <w14:ligatures w14:val="none"/>
        </w:rPr>
        <w:t>recorded</w:t>
      </w:r>
      <w:r w:rsidR="00290FE4" w:rsidRPr="006C5784">
        <w:rPr>
          <w:rFonts w:ascii="Tahoma" w:eastAsia="MS PGothic" w:hAnsi="Tahoma" w:cs="Tahoma"/>
          <w:kern w:val="0"/>
          <w14:ligatures w14:val="none"/>
        </w:rPr>
        <w:t xml:space="preserve"> training</w:t>
      </w:r>
      <w:r w:rsidR="00C250B8" w:rsidRPr="006C5784">
        <w:rPr>
          <w:rFonts w:ascii="Tahoma" w:eastAsia="MS PGothic" w:hAnsi="Tahoma" w:cs="Tahoma"/>
          <w:kern w:val="0"/>
          <w14:ligatures w14:val="none"/>
        </w:rPr>
        <w:t>s and additional</w:t>
      </w:r>
      <w:r w:rsidR="00290FE4" w:rsidRPr="006C5784">
        <w:rPr>
          <w:rFonts w:ascii="Tahoma" w:eastAsia="MS PGothic" w:hAnsi="Tahoma" w:cs="Tahoma"/>
          <w:kern w:val="0"/>
          <w14:ligatures w14:val="none"/>
        </w:rPr>
        <w:t xml:space="preserve"> resources </w:t>
      </w:r>
      <w:r w:rsidR="0079128E" w:rsidRPr="006C5784">
        <w:rPr>
          <w:rFonts w:ascii="Tahoma" w:eastAsia="MS PGothic" w:hAnsi="Tahoma" w:cs="Tahoma"/>
          <w:kern w:val="0"/>
          <w14:ligatures w14:val="none"/>
        </w:rPr>
        <w:t>that expand on the point</w:t>
      </w:r>
      <w:r w:rsidR="0098028B" w:rsidRPr="006C5784">
        <w:rPr>
          <w:rFonts w:ascii="Tahoma" w:eastAsia="MS PGothic" w:hAnsi="Tahoma" w:cs="Tahoma"/>
          <w:kern w:val="0"/>
          <w14:ligatures w14:val="none"/>
        </w:rPr>
        <w:t>s throughout this document.</w:t>
      </w:r>
      <w:r w:rsidR="001E2F34" w:rsidRPr="006C5784">
        <w:rPr>
          <w:rFonts w:ascii="Tahoma" w:eastAsia="MS PGothic" w:hAnsi="Tahoma" w:cs="Tahoma"/>
          <w:kern w:val="0"/>
          <w14:ligatures w14:val="none"/>
        </w:rPr>
        <w:t xml:space="preserve"> </w:t>
      </w:r>
    </w:p>
    <w:p w14:paraId="5EB1EF50" w14:textId="77777777" w:rsidR="005C749B" w:rsidRPr="006C5784" w:rsidRDefault="005C749B" w:rsidP="005C749B">
      <w:pPr>
        <w:pStyle w:val="ListParagraph"/>
        <w:ind w:left="360"/>
        <w:rPr>
          <w:rFonts w:ascii="Tahoma" w:eastAsia="MS PGothic" w:hAnsi="Tahoma" w:cs="Tahoma"/>
          <w:kern w:val="0"/>
          <w14:ligatures w14:val="none"/>
        </w:rPr>
      </w:pPr>
    </w:p>
    <w:p w14:paraId="75315F93" w14:textId="59119148" w:rsidR="00E51ECE" w:rsidRPr="006C5784" w:rsidRDefault="0030749B" w:rsidP="005C749B">
      <w:pPr>
        <w:pStyle w:val="ListParagraph"/>
        <w:numPr>
          <w:ilvl w:val="0"/>
          <w:numId w:val="4"/>
        </w:numPr>
        <w:rPr>
          <w:rFonts w:ascii="Tahoma" w:eastAsia="MS PGothic" w:hAnsi="Tahoma" w:cs="Tahoma"/>
          <w:kern w:val="0"/>
          <w:u w:val="single"/>
          <w14:ligatures w14:val="none"/>
        </w:rPr>
      </w:pPr>
      <w:r w:rsidRPr="006C5784">
        <w:rPr>
          <w:rFonts w:ascii="Tahoma" w:eastAsia="MS PGothic" w:hAnsi="Tahoma" w:cs="Tahoma"/>
          <w:kern w:val="0"/>
          <w:u w:val="single"/>
          <w14:ligatures w14:val="none"/>
        </w:rPr>
        <w:t>P</w:t>
      </w:r>
      <w:r w:rsidR="006F7835" w:rsidRPr="006C5784">
        <w:rPr>
          <w:rFonts w:ascii="Tahoma" w:eastAsia="MS PGothic" w:hAnsi="Tahoma" w:cs="Tahoma"/>
          <w:kern w:val="0"/>
          <w:u w:val="single"/>
          <w14:ligatures w14:val="none"/>
        </w:rPr>
        <w:t>olicy</w:t>
      </w:r>
      <w:r w:rsidR="00277696" w:rsidRPr="006C5784">
        <w:rPr>
          <w:rFonts w:ascii="Tahoma" w:eastAsia="MS PGothic" w:hAnsi="Tahoma" w:cs="Tahoma"/>
          <w:kern w:val="0"/>
          <w:u w:val="single"/>
          <w14:ligatures w14:val="none"/>
        </w:rPr>
        <w:t xml:space="preserve"> and </w:t>
      </w:r>
      <w:r w:rsidR="00FA57A7" w:rsidRPr="006C5784">
        <w:rPr>
          <w:rFonts w:ascii="Tahoma" w:eastAsia="MS PGothic" w:hAnsi="Tahoma" w:cs="Tahoma"/>
          <w:kern w:val="0"/>
          <w:u w:val="single"/>
          <w14:ligatures w14:val="none"/>
        </w:rPr>
        <w:t>Purpose</w:t>
      </w:r>
    </w:p>
    <w:p w14:paraId="2FDAFE25" w14:textId="77777777" w:rsidR="005C749B" w:rsidRPr="006C5784" w:rsidRDefault="005C749B" w:rsidP="005C749B">
      <w:pPr>
        <w:pStyle w:val="ListParagraph"/>
        <w:rPr>
          <w:rFonts w:ascii="Tahoma" w:eastAsia="MS PGothic" w:hAnsi="Tahoma" w:cs="Tahoma"/>
          <w:kern w:val="0"/>
          <w:u w:val="single"/>
          <w14:ligatures w14:val="none"/>
        </w:rPr>
      </w:pPr>
    </w:p>
    <w:p w14:paraId="7C8E9C4C" w14:textId="2DFFC9E5" w:rsidR="00A86212" w:rsidRPr="006C5784" w:rsidRDefault="00AD0107" w:rsidP="007D1417">
      <w:pPr>
        <w:pStyle w:val="ListParagraph"/>
        <w:numPr>
          <w:ilvl w:val="0"/>
          <w:numId w:val="2"/>
        </w:numPr>
        <w:rPr>
          <w:rFonts w:ascii="Tahoma" w:eastAsia="MS PGothic" w:hAnsi="Tahoma" w:cs="Tahoma"/>
          <w:kern w:val="0"/>
          <w14:ligatures w14:val="none"/>
        </w:rPr>
      </w:pPr>
      <w:r w:rsidRPr="006C5784">
        <w:rPr>
          <w:rFonts w:ascii="Tahoma" w:eastAsia="MS PGothic" w:hAnsi="Tahoma" w:cs="Tahoma"/>
          <w:kern w:val="0"/>
          <w14:ligatures w14:val="none"/>
        </w:rPr>
        <w:t xml:space="preserve">Most prosecutions of </w:t>
      </w:r>
      <w:r w:rsidR="0098028B" w:rsidRPr="006C5784">
        <w:rPr>
          <w:rFonts w:ascii="Tahoma" w:eastAsia="MS PGothic" w:hAnsi="Tahoma" w:cs="Tahoma"/>
          <w:kern w:val="0"/>
          <w14:ligatures w14:val="none"/>
        </w:rPr>
        <w:t xml:space="preserve">sexual assault, domestic violence, dating violence, and stalking </w:t>
      </w:r>
      <w:r w:rsidRPr="006C5784">
        <w:rPr>
          <w:rFonts w:ascii="Tahoma" w:eastAsia="MS PGothic" w:hAnsi="Tahoma" w:cs="Tahoma"/>
          <w:kern w:val="0"/>
          <w14:ligatures w14:val="none"/>
        </w:rPr>
        <w:t>rely on the victim’s account, and therefore require victims to testify. It is not uncommon for a victim to be reluctant to participate</w:t>
      </w:r>
      <w:r w:rsidR="00DC0FE3" w:rsidRPr="006C5784">
        <w:rPr>
          <w:rFonts w:ascii="Tahoma" w:eastAsia="MS PGothic" w:hAnsi="Tahoma" w:cs="Tahoma"/>
          <w:kern w:val="0"/>
          <w14:ligatures w14:val="none"/>
        </w:rPr>
        <w:t xml:space="preserve"> at some point during</w:t>
      </w:r>
      <w:r w:rsidRPr="006C5784">
        <w:rPr>
          <w:rFonts w:ascii="Tahoma" w:eastAsia="MS PGothic" w:hAnsi="Tahoma" w:cs="Tahoma"/>
          <w:kern w:val="0"/>
          <w14:ligatures w14:val="none"/>
        </w:rPr>
        <w:t xml:space="preserve"> the pendency of a case</w:t>
      </w:r>
      <w:r w:rsidR="00C74858" w:rsidRPr="006C5784">
        <w:rPr>
          <w:rFonts w:ascii="Tahoma" w:eastAsia="MS PGothic" w:hAnsi="Tahoma" w:cs="Tahoma"/>
          <w:kern w:val="0"/>
          <w14:ligatures w14:val="none"/>
        </w:rPr>
        <w:t xml:space="preserve">. This is true for myriad reasons, particularly in cases where the </w:t>
      </w:r>
      <w:r w:rsidR="00C56798" w:rsidRPr="006C5784">
        <w:rPr>
          <w:rFonts w:ascii="Tahoma" w:eastAsia="MS PGothic" w:hAnsi="Tahoma" w:cs="Tahoma"/>
          <w:kern w:val="0"/>
          <w14:ligatures w14:val="none"/>
        </w:rPr>
        <w:t>defendant may have</w:t>
      </w:r>
      <w:r w:rsidR="007162E5" w:rsidRPr="006C5784">
        <w:rPr>
          <w:rFonts w:ascii="Tahoma" w:eastAsia="MS PGothic" w:hAnsi="Tahoma" w:cs="Tahoma"/>
          <w:kern w:val="0"/>
          <w14:ligatures w14:val="none"/>
        </w:rPr>
        <w:t xml:space="preserve"> threatened or</w:t>
      </w:r>
      <w:r w:rsidR="00C56798" w:rsidRPr="006C5784">
        <w:rPr>
          <w:rFonts w:ascii="Tahoma" w:eastAsia="MS PGothic" w:hAnsi="Tahoma" w:cs="Tahoma"/>
          <w:kern w:val="0"/>
          <w14:ligatures w14:val="none"/>
        </w:rPr>
        <w:t xml:space="preserve"> intimidated the victim, the victim may be frightened of escalating violence by the defendant, </w:t>
      </w:r>
      <w:r w:rsidR="00F00EA5" w:rsidRPr="006C5784">
        <w:rPr>
          <w:rFonts w:ascii="Tahoma" w:eastAsia="MS PGothic" w:hAnsi="Tahoma" w:cs="Tahoma"/>
          <w:kern w:val="0"/>
          <w14:ligatures w14:val="none"/>
        </w:rPr>
        <w:t xml:space="preserve">or </w:t>
      </w:r>
      <w:r w:rsidR="00C56798" w:rsidRPr="006C5784">
        <w:rPr>
          <w:rFonts w:ascii="Tahoma" w:eastAsia="MS PGothic" w:hAnsi="Tahoma" w:cs="Tahoma"/>
          <w:kern w:val="0"/>
          <w14:ligatures w14:val="none"/>
        </w:rPr>
        <w:t xml:space="preserve">the victim </w:t>
      </w:r>
      <w:r w:rsidR="00C74858" w:rsidRPr="006C5784">
        <w:rPr>
          <w:rFonts w:ascii="Tahoma" w:eastAsia="MS PGothic" w:hAnsi="Tahoma" w:cs="Tahoma"/>
          <w:kern w:val="0"/>
          <w14:ligatures w14:val="none"/>
        </w:rPr>
        <w:t xml:space="preserve">may be financially dependent on </w:t>
      </w:r>
      <w:r w:rsidR="00846FD1" w:rsidRPr="006C5784">
        <w:rPr>
          <w:rFonts w:ascii="Tahoma" w:eastAsia="MS PGothic" w:hAnsi="Tahoma" w:cs="Tahoma"/>
          <w:kern w:val="0"/>
          <w14:ligatures w14:val="none"/>
        </w:rPr>
        <w:t>and/</w:t>
      </w:r>
      <w:r w:rsidR="00C56798" w:rsidRPr="006C5784">
        <w:rPr>
          <w:rFonts w:ascii="Tahoma" w:eastAsia="MS PGothic" w:hAnsi="Tahoma" w:cs="Tahoma"/>
          <w:kern w:val="0"/>
          <w14:ligatures w14:val="none"/>
        </w:rPr>
        <w:t>or have children in common</w:t>
      </w:r>
      <w:r w:rsidR="00F00EA5" w:rsidRPr="006C5784">
        <w:rPr>
          <w:rFonts w:ascii="Tahoma" w:eastAsia="MS PGothic" w:hAnsi="Tahoma" w:cs="Tahoma"/>
          <w:kern w:val="0"/>
          <w14:ligatures w14:val="none"/>
        </w:rPr>
        <w:t xml:space="preserve"> with the defendant. </w:t>
      </w:r>
      <w:r w:rsidR="00C74858" w:rsidRPr="006C5784">
        <w:rPr>
          <w:rFonts w:ascii="Tahoma" w:eastAsia="MS PGothic" w:hAnsi="Tahoma" w:cs="Tahoma"/>
          <w:kern w:val="0"/>
          <w14:ligatures w14:val="none"/>
        </w:rPr>
        <w:t>The victim may also</w:t>
      </w:r>
      <w:r w:rsidR="00C56798" w:rsidRPr="006C5784">
        <w:rPr>
          <w:rFonts w:ascii="Tahoma" w:eastAsia="MS PGothic" w:hAnsi="Tahoma" w:cs="Tahoma"/>
          <w:kern w:val="0"/>
          <w14:ligatures w14:val="none"/>
        </w:rPr>
        <w:t xml:space="preserve"> </w:t>
      </w:r>
      <w:r w:rsidR="00407046" w:rsidRPr="006C5784">
        <w:rPr>
          <w:rFonts w:ascii="Tahoma" w:eastAsia="MS PGothic" w:hAnsi="Tahoma" w:cs="Tahoma"/>
          <w:kern w:val="0"/>
          <w14:ligatures w14:val="none"/>
        </w:rPr>
        <w:t xml:space="preserve">be </w:t>
      </w:r>
      <w:r w:rsidR="00DC28A0" w:rsidRPr="006C5784">
        <w:rPr>
          <w:rFonts w:ascii="Tahoma" w:eastAsia="MS PGothic" w:hAnsi="Tahoma" w:cs="Tahoma"/>
          <w:kern w:val="0"/>
          <w14:ligatures w14:val="none"/>
        </w:rPr>
        <w:t>apprehensive or embarrassed about the prospect of testifying</w:t>
      </w:r>
      <w:r w:rsidR="00C56798" w:rsidRPr="006C5784">
        <w:rPr>
          <w:rFonts w:ascii="Tahoma" w:eastAsia="MS PGothic" w:hAnsi="Tahoma" w:cs="Tahoma"/>
          <w:kern w:val="0"/>
          <w14:ligatures w14:val="none"/>
        </w:rPr>
        <w:t xml:space="preserve">, enduring cross-examination, or having their credibility </w:t>
      </w:r>
      <w:r w:rsidR="00065789" w:rsidRPr="006C5784">
        <w:rPr>
          <w:rFonts w:ascii="Tahoma" w:eastAsia="MS PGothic" w:hAnsi="Tahoma" w:cs="Tahoma"/>
          <w:kern w:val="0"/>
          <w14:ligatures w14:val="none"/>
        </w:rPr>
        <w:t xml:space="preserve">publicly </w:t>
      </w:r>
      <w:r w:rsidR="00C56798" w:rsidRPr="006C5784">
        <w:rPr>
          <w:rFonts w:ascii="Tahoma" w:eastAsia="MS PGothic" w:hAnsi="Tahoma" w:cs="Tahoma"/>
          <w:kern w:val="0"/>
          <w14:ligatures w14:val="none"/>
        </w:rPr>
        <w:t>question</w:t>
      </w:r>
      <w:r w:rsidR="00F00EA5" w:rsidRPr="006C5784">
        <w:rPr>
          <w:rFonts w:ascii="Tahoma" w:eastAsia="MS PGothic" w:hAnsi="Tahoma" w:cs="Tahoma"/>
          <w:kern w:val="0"/>
          <w14:ligatures w14:val="none"/>
        </w:rPr>
        <w:t>ed</w:t>
      </w:r>
      <w:r w:rsidR="00C56798" w:rsidRPr="006C5784">
        <w:rPr>
          <w:rFonts w:ascii="Tahoma" w:eastAsia="MS PGothic" w:hAnsi="Tahoma" w:cs="Tahoma"/>
          <w:kern w:val="0"/>
          <w14:ligatures w14:val="none"/>
        </w:rPr>
        <w:t>,</w:t>
      </w:r>
      <w:r w:rsidR="00407046" w:rsidRPr="006C5784">
        <w:rPr>
          <w:rFonts w:ascii="Tahoma" w:eastAsia="MS PGothic" w:hAnsi="Tahoma" w:cs="Tahoma"/>
          <w:kern w:val="0"/>
          <w14:ligatures w14:val="none"/>
        </w:rPr>
        <w:t xml:space="preserve"> among other concerns</w:t>
      </w:r>
      <w:r w:rsidR="00DC28A0" w:rsidRPr="006C5784">
        <w:rPr>
          <w:rFonts w:ascii="Tahoma" w:eastAsia="MS PGothic" w:hAnsi="Tahoma" w:cs="Tahoma"/>
          <w:kern w:val="0"/>
          <w14:ligatures w14:val="none"/>
        </w:rPr>
        <w:t>.</w:t>
      </w:r>
      <w:r w:rsidR="00474482" w:rsidRPr="006C5784">
        <w:rPr>
          <w:rFonts w:ascii="Tahoma" w:eastAsia="MS PGothic" w:hAnsi="Tahoma" w:cs="Tahoma"/>
          <w:kern w:val="0"/>
          <w14:ligatures w14:val="none"/>
        </w:rPr>
        <w:t xml:space="preserve"> </w:t>
      </w:r>
    </w:p>
    <w:p w14:paraId="0F801D83" w14:textId="77777777" w:rsidR="00401244" w:rsidRPr="006C5784" w:rsidRDefault="00401244" w:rsidP="00401244">
      <w:pPr>
        <w:pStyle w:val="ListParagraph"/>
        <w:rPr>
          <w:rFonts w:ascii="Tahoma" w:eastAsia="MS PGothic" w:hAnsi="Tahoma" w:cs="Tahoma"/>
          <w:kern w:val="0"/>
          <w14:ligatures w14:val="none"/>
        </w:rPr>
      </w:pPr>
    </w:p>
    <w:p w14:paraId="1978CCBD" w14:textId="02A17118" w:rsidR="00636B2D" w:rsidRPr="006C5784" w:rsidRDefault="007D1417" w:rsidP="00D12A01">
      <w:pPr>
        <w:pStyle w:val="ListParagraph"/>
        <w:numPr>
          <w:ilvl w:val="0"/>
          <w:numId w:val="2"/>
        </w:numPr>
        <w:rPr>
          <w:rFonts w:ascii="Tahoma" w:eastAsia="MS PGothic" w:hAnsi="Tahoma" w:cs="Tahoma"/>
          <w:kern w:val="0"/>
          <w14:ligatures w14:val="none"/>
        </w:rPr>
      </w:pPr>
      <w:r w:rsidRPr="006C5784">
        <w:rPr>
          <w:rFonts w:ascii="Tahoma" w:eastAsia="MS PGothic" w:hAnsi="Tahoma" w:cs="Tahoma"/>
          <w:kern w:val="0"/>
          <w14:ligatures w14:val="none"/>
        </w:rPr>
        <w:t>Prosecutors should expect such hesitance</w:t>
      </w:r>
      <w:r w:rsidR="004142B6" w:rsidRPr="006C5784">
        <w:rPr>
          <w:rFonts w:ascii="Tahoma" w:eastAsia="MS PGothic" w:hAnsi="Tahoma" w:cs="Tahoma"/>
          <w:kern w:val="0"/>
          <w14:ligatures w14:val="none"/>
        </w:rPr>
        <w:t xml:space="preserve"> and engage with </w:t>
      </w:r>
      <w:r w:rsidR="008B774E" w:rsidRPr="006C5784">
        <w:rPr>
          <w:rFonts w:ascii="Tahoma" w:eastAsia="MS PGothic" w:hAnsi="Tahoma" w:cs="Tahoma"/>
          <w:kern w:val="0"/>
          <w14:ligatures w14:val="none"/>
        </w:rPr>
        <w:t xml:space="preserve">the victim throughout the pendency of </w:t>
      </w:r>
      <w:r w:rsidR="00065789" w:rsidRPr="006C5784">
        <w:rPr>
          <w:rFonts w:ascii="Tahoma" w:eastAsia="MS PGothic" w:hAnsi="Tahoma" w:cs="Tahoma"/>
          <w:kern w:val="0"/>
          <w14:ligatures w14:val="none"/>
        </w:rPr>
        <w:t>a</w:t>
      </w:r>
      <w:r w:rsidR="008B774E" w:rsidRPr="006C5784">
        <w:rPr>
          <w:rFonts w:ascii="Tahoma" w:eastAsia="MS PGothic" w:hAnsi="Tahoma" w:cs="Tahoma"/>
          <w:kern w:val="0"/>
          <w14:ligatures w14:val="none"/>
        </w:rPr>
        <w:t xml:space="preserve"> case, as set forth in Section III</w:t>
      </w:r>
      <w:r w:rsidR="00707AC4" w:rsidRPr="006C5784">
        <w:rPr>
          <w:rFonts w:ascii="Tahoma" w:eastAsia="MS PGothic" w:hAnsi="Tahoma" w:cs="Tahoma"/>
          <w:kern w:val="0"/>
          <w14:ligatures w14:val="none"/>
        </w:rPr>
        <w:t xml:space="preserve"> </w:t>
      </w:r>
      <w:r w:rsidR="00B97554" w:rsidRPr="006C5784">
        <w:rPr>
          <w:rFonts w:ascii="Tahoma" w:eastAsia="MS PGothic" w:hAnsi="Tahoma" w:cs="Tahoma"/>
          <w:kern w:val="0"/>
          <w14:ligatures w14:val="none"/>
        </w:rPr>
        <w:t xml:space="preserve">below </w:t>
      </w:r>
      <w:r w:rsidR="00E26640" w:rsidRPr="006C5784">
        <w:rPr>
          <w:rFonts w:ascii="Tahoma" w:eastAsia="MS PGothic" w:hAnsi="Tahoma" w:cs="Tahoma"/>
          <w:kern w:val="0"/>
          <w14:ligatures w14:val="none"/>
        </w:rPr>
        <w:t>and in the DOJ Prosecut</w:t>
      </w:r>
      <w:r w:rsidR="00E0401B" w:rsidRPr="006C5784">
        <w:rPr>
          <w:rFonts w:ascii="Tahoma" w:eastAsia="MS PGothic" w:hAnsi="Tahoma" w:cs="Tahoma"/>
          <w:kern w:val="0"/>
          <w14:ligatures w14:val="none"/>
        </w:rPr>
        <w:t>or</w:t>
      </w:r>
      <w:r w:rsidR="00E73110">
        <w:rPr>
          <w:rFonts w:ascii="Tahoma" w:eastAsia="MS PGothic" w:hAnsi="Tahoma" w:cs="Tahoma"/>
          <w:kern w:val="0"/>
          <w14:ligatures w14:val="none"/>
        </w:rPr>
        <w:t>s’</w:t>
      </w:r>
      <w:r w:rsidR="00184269" w:rsidRPr="006C5784">
        <w:rPr>
          <w:rFonts w:ascii="Tahoma" w:eastAsia="MS PGothic" w:hAnsi="Tahoma" w:cs="Tahoma"/>
          <w:kern w:val="0"/>
          <w14:ligatures w14:val="none"/>
        </w:rPr>
        <w:t xml:space="preserve"> Framework</w:t>
      </w:r>
      <w:r w:rsidR="008B774E" w:rsidRPr="006C5784">
        <w:rPr>
          <w:rFonts w:ascii="Tahoma" w:eastAsia="MS PGothic" w:hAnsi="Tahoma" w:cs="Tahoma"/>
          <w:kern w:val="0"/>
          <w14:ligatures w14:val="none"/>
        </w:rPr>
        <w:t xml:space="preserve">. </w:t>
      </w:r>
      <w:r w:rsidR="00E74AC5" w:rsidRPr="006C5784">
        <w:rPr>
          <w:rFonts w:ascii="Tahoma" w:eastAsia="MS PGothic" w:hAnsi="Tahoma" w:cs="Tahoma"/>
          <w:kern w:val="0"/>
          <w14:ligatures w14:val="none"/>
        </w:rPr>
        <w:t>Doing so will</w:t>
      </w:r>
      <w:r w:rsidR="00236AF9" w:rsidRPr="006C5784">
        <w:rPr>
          <w:rFonts w:ascii="Tahoma" w:eastAsia="MS PGothic" w:hAnsi="Tahoma" w:cs="Tahoma"/>
          <w:kern w:val="0"/>
          <w14:ligatures w14:val="none"/>
        </w:rPr>
        <w:t xml:space="preserve"> increase the likelihood that the victim will participate in the prosecution through resolution</w:t>
      </w:r>
      <w:r w:rsidR="00BF6ADF" w:rsidRPr="006C5784">
        <w:rPr>
          <w:rFonts w:ascii="Tahoma" w:eastAsia="MS PGothic" w:hAnsi="Tahoma" w:cs="Tahoma"/>
          <w:kern w:val="0"/>
          <w14:ligatures w14:val="none"/>
        </w:rPr>
        <w:t>, be it via guilty plea</w:t>
      </w:r>
      <w:r w:rsidR="009D6C99" w:rsidRPr="006C5784">
        <w:rPr>
          <w:rFonts w:ascii="Tahoma" w:eastAsia="MS PGothic" w:hAnsi="Tahoma" w:cs="Tahoma"/>
          <w:kern w:val="0"/>
          <w14:ligatures w14:val="none"/>
        </w:rPr>
        <w:t>,</w:t>
      </w:r>
      <w:r w:rsidR="00BF6ADF" w:rsidRPr="006C5784">
        <w:rPr>
          <w:rFonts w:ascii="Tahoma" w:eastAsia="MS PGothic" w:hAnsi="Tahoma" w:cs="Tahoma"/>
          <w:kern w:val="0"/>
          <w14:ligatures w14:val="none"/>
        </w:rPr>
        <w:t xml:space="preserve"> or</w:t>
      </w:r>
      <w:r w:rsidR="00AF2E9B" w:rsidRPr="006C5784">
        <w:rPr>
          <w:rFonts w:ascii="Tahoma" w:eastAsia="MS PGothic" w:hAnsi="Tahoma" w:cs="Tahoma"/>
          <w:kern w:val="0"/>
          <w14:ligatures w14:val="none"/>
        </w:rPr>
        <w:t xml:space="preserve"> via</w:t>
      </w:r>
      <w:r w:rsidR="00BF6ADF" w:rsidRPr="006C5784">
        <w:rPr>
          <w:rFonts w:ascii="Tahoma" w:eastAsia="MS PGothic" w:hAnsi="Tahoma" w:cs="Tahoma"/>
          <w:kern w:val="0"/>
          <w14:ligatures w14:val="none"/>
        </w:rPr>
        <w:t xml:space="preserve"> trial</w:t>
      </w:r>
      <w:r w:rsidR="00F55EBE" w:rsidRPr="006C5784">
        <w:rPr>
          <w:rFonts w:ascii="Tahoma" w:eastAsia="MS PGothic" w:hAnsi="Tahoma" w:cs="Tahoma"/>
          <w:kern w:val="0"/>
          <w14:ligatures w14:val="none"/>
        </w:rPr>
        <w:t xml:space="preserve">, where the victim will likely </w:t>
      </w:r>
      <w:r w:rsidR="001410E1" w:rsidRPr="006C5784">
        <w:rPr>
          <w:rFonts w:ascii="Tahoma" w:eastAsia="MS PGothic" w:hAnsi="Tahoma" w:cs="Tahoma"/>
          <w:kern w:val="0"/>
          <w14:ligatures w14:val="none"/>
        </w:rPr>
        <w:t xml:space="preserve">be called to </w:t>
      </w:r>
      <w:r w:rsidR="00F55EBE" w:rsidRPr="006C5784">
        <w:rPr>
          <w:rFonts w:ascii="Tahoma" w:eastAsia="MS PGothic" w:hAnsi="Tahoma" w:cs="Tahoma"/>
          <w:kern w:val="0"/>
          <w14:ligatures w14:val="none"/>
        </w:rPr>
        <w:t>testify</w:t>
      </w:r>
      <w:r w:rsidR="00BA129F" w:rsidRPr="006C5784">
        <w:rPr>
          <w:rFonts w:ascii="Tahoma" w:eastAsia="MS PGothic" w:hAnsi="Tahoma" w:cs="Tahoma"/>
          <w:kern w:val="0"/>
          <w14:ligatures w14:val="none"/>
        </w:rPr>
        <w:t>, even if reluctantly</w:t>
      </w:r>
      <w:r w:rsidR="00BF6ADF" w:rsidRPr="006C5784">
        <w:rPr>
          <w:rFonts w:ascii="Tahoma" w:eastAsia="MS PGothic" w:hAnsi="Tahoma" w:cs="Tahoma"/>
          <w:kern w:val="0"/>
          <w14:ligatures w14:val="none"/>
        </w:rPr>
        <w:t>.</w:t>
      </w:r>
    </w:p>
    <w:p w14:paraId="5E73E7B0" w14:textId="77777777" w:rsidR="00614630" w:rsidRPr="006C5784" w:rsidRDefault="00614630" w:rsidP="00614630">
      <w:pPr>
        <w:pStyle w:val="ListParagraph"/>
        <w:rPr>
          <w:rFonts w:ascii="Tahoma" w:eastAsia="MS PGothic" w:hAnsi="Tahoma" w:cs="Tahoma"/>
          <w:b/>
          <w:bCs/>
          <w:kern w:val="0"/>
          <w14:ligatures w14:val="none"/>
        </w:rPr>
      </w:pPr>
    </w:p>
    <w:p w14:paraId="2E38A840" w14:textId="7DB530D4" w:rsidR="00466AA3" w:rsidRPr="006C5784" w:rsidRDefault="00614630" w:rsidP="00407046">
      <w:pPr>
        <w:pStyle w:val="ListParagraph"/>
        <w:numPr>
          <w:ilvl w:val="0"/>
          <w:numId w:val="2"/>
        </w:numPr>
        <w:rPr>
          <w:rFonts w:ascii="Tahoma" w:eastAsia="MS PGothic" w:hAnsi="Tahoma" w:cs="Tahoma"/>
          <w:kern w:val="0"/>
          <w14:ligatures w14:val="none"/>
        </w:rPr>
      </w:pPr>
      <w:r w:rsidRPr="006C5784">
        <w:rPr>
          <w:rFonts w:ascii="Tahoma" w:eastAsia="MS PGothic" w:hAnsi="Tahoma" w:cs="Tahoma"/>
          <w:b/>
          <w:bCs/>
          <w:kern w:val="0"/>
          <w14:ligatures w14:val="none"/>
        </w:rPr>
        <w:lastRenderedPageBreak/>
        <w:t>I</w:t>
      </w:r>
      <w:r w:rsidR="00296CED" w:rsidRPr="006C5784">
        <w:rPr>
          <w:rFonts w:ascii="Tahoma" w:eastAsia="MS PGothic" w:hAnsi="Tahoma" w:cs="Tahoma"/>
          <w:b/>
          <w:bCs/>
          <w:kern w:val="0"/>
          <w14:ligatures w14:val="none"/>
        </w:rPr>
        <w:t xml:space="preserve">t is the policy of this office </w:t>
      </w:r>
      <w:r w:rsidR="00296CED" w:rsidRPr="006C5784">
        <w:rPr>
          <w:rFonts w:ascii="Tahoma" w:eastAsia="MS PGothic" w:hAnsi="Tahoma" w:cs="Tahoma"/>
          <w:b/>
          <w:bCs/>
          <w:kern w:val="0"/>
          <w:u w:val="single"/>
          <w14:ligatures w14:val="none"/>
        </w:rPr>
        <w:t>not</w:t>
      </w:r>
      <w:r w:rsidR="00296CED" w:rsidRPr="006C5784">
        <w:rPr>
          <w:rFonts w:ascii="Tahoma" w:eastAsia="MS PGothic" w:hAnsi="Tahoma" w:cs="Tahoma"/>
          <w:b/>
          <w:bCs/>
          <w:kern w:val="0"/>
          <w14:ligatures w14:val="none"/>
        </w:rPr>
        <w:t xml:space="preserve"> to </w:t>
      </w:r>
      <w:r w:rsidR="006F7835" w:rsidRPr="006C5784">
        <w:rPr>
          <w:rFonts w:ascii="Tahoma" w:eastAsia="MS PGothic" w:hAnsi="Tahoma" w:cs="Tahoma"/>
          <w:b/>
          <w:bCs/>
          <w:kern w:val="0"/>
          <w14:ligatures w14:val="none"/>
        </w:rPr>
        <w:t>arrest</w:t>
      </w:r>
      <w:r w:rsidR="00F00EA5" w:rsidRPr="006C5784">
        <w:rPr>
          <w:rFonts w:ascii="Tahoma" w:eastAsia="MS PGothic" w:hAnsi="Tahoma" w:cs="Tahoma"/>
          <w:b/>
          <w:bCs/>
          <w:kern w:val="0"/>
          <w14:ligatures w14:val="none"/>
        </w:rPr>
        <w:t>, det</w:t>
      </w:r>
      <w:r w:rsidR="005B7E4E" w:rsidRPr="006C5784">
        <w:rPr>
          <w:rFonts w:ascii="Tahoma" w:eastAsia="MS PGothic" w:hAnsi="Tahoma" w:cs="Tahoma"/>
          <w:b/>
          <w:bCs/>
          <w:kern w:val="0"/>
          <w14:ligatures w14:val="none"/>
        </w:rPr>
        <w:t>ain</w:t>
      </w:r>
      <w:r w:rsidR="00F00EA5" w:rsidRPr="006C5784">
        <w:rPr>
          <w:rFonts w:ascii="Tahoma" w:eastAsia="MS PGothic" w:hAnsi="Tahoma" w:cs="Tahoma"/>
          <w:b/>
          <w:bCs/>
          <w:kern w:val="0"/>
          <w14:ligatures w14:val="none"/>
        </w:rPr>
        <w:t>,</w:t>
      </w:r>
      <w:r w:rsidR="00A651F0" w:rsidRPr="006C5784">
        <w:rPr>
          <w:rFonts w:ascii="Tahoma" w:eastAsia="MS PGothic" w:hAnsi="Tahoma" w:cs="Tahoma"/>
          <w:b/>
          <w:bCs/>
          <w:kern w:val="0"/>
          <w14:ligatures w14:val="none"/>
        </w:rPr>
        <w:t xml:space="preserve"> hold victims in custody,</w:t>
      </w:r>
      <w:r w:rsidR="00F00EA5" w:rsidRPr="006C5784">
        <w:rPr>
          <w:rFonts w:ascii="Tahoma" w:eastAsia="MS PGothic" w:hAnsi="Tahoma" w:cs="Tahoma"/>
          <w:b/>
          <w:bCs/>
          <w:kern w:val="0"/>
          <w14:ligatures w14:val="none"/>
        </w:rPr>
        <w:t xml:space="preserve"> </w:t>
      </w:r>
      <w:r w:rsidR="005B7E4E" w:rsidRPr="006C5784">
        <w:rPr>
          <w:rFonts w:ascii="Tahoma" w:eastAsia="MS PGothic" w:hAnsi="Tahoma" w:cs="Tahoma"/>
          <w:b/>
          <w:bCs/>
          <w:kern w:val="0"/>
          <w14:ligatures w14:val="none"/>
        </w:rPr>
        <w:t xml:space="preserve">or subject victims to </w:t>
      </w:r>
      <w:r w:rsidR="00B0577F" w:rsidRPr="006C5784">
        <w:rPr>
          <w:rFonts w:ascii="Tahoma" w:eastAsia="MS PGothic" w:hAnsi="Tahoma" w:cs="Tahoma"/>
          <w:b/>
          <w:bCs/>
          <w:kern w:val="0"/>
          <w14:ligatures w14:val="none"/>
        </w:rPr>
        <w:t>contempt proceedings</w:t>
      </w:r>
      <w:r w:rsidR="00A651F0" w:rsidRPr="006C5784">
        <w:rPr>
          <w:rFonts w:ascii="Tahoma" w:eastAsia="MS PGothic" w:hAnsi="Tahoma" w:cs="Tahoma"/>
          <w:b/>
          <w:bCs/>
          <w:kern w:val="0"/>
          <w14:ligatures w14:val="none"/>
        </w:rPr>
        <w:t xml:space="preserve"> for the purpose of securing their testimony,</w:t>
      </w:r>
      <w:r w:rsidR="00F00EA5" w:rsidRPr="006C5784">
        <w:rPr>
          <w:rFonts w:ascii="Tahoma" w:eastAsia="MS PGothic" w:hAnsi="Tahoma" w:cs="Tahoma"/>
          <w:b/>
          <w:bCs/>
          <w:kern w:val="0"/>
          <w14:ligatures w14:val="none"/>
        </w:rPr>
        <w:t xml:space="preserve"> </w:t>
      </w:r>
      <w:r w:rsidR="009E4BC0" w:rsidRPr="006C5784">
        <w:rPr>
          <w:rFonts w:ascii="Tahoma" w:eastAsia="MS PGothic" w:hAnsi="Tahoma" w:cs="Tahoma"/>
          <w:b/>
          <w:bCs/>
          <w:kern w:val="0"/>
          <w14:ligatures w14:val="none"/>
        </w:rPr>
        <w:t>absent extraordinary and limited circumstances</w:t>
      </w:r>
      <w:r w:rsidR="00296CED" w:rsidRPr="006C5784">
        <w:rPr>
          <w:rFonts w:ascii="Tahoma" w:eastAsia="MS PGothic" w:hAnsi="Tahoma" w:cs="Tahoma"/>
          <w:b/>
          <w:bCs/>
          <w:kern w:val="0"/>
          <w14:ligatures w14:val="none"/>
        </w:rPr>
        <w:t>.</w:t>
      </w:r>
      <w:r w:rsidR="001B2837">
        <w:rPr>
          <w:rStyle w:val="FootnoteReference"/>
          <w:rFonts w:ascii="Tahoma" w:eastAsia="MS PGothic" w:hAnsi="Tahoma" w:cs="Tahoma"/>
          <w:b/>
          <w:bCs/>
          <w:kern w:val="0"/>
          <w14:ligatures w14:val="none"/>
        </w:rPr>
        <w:footnoteReference w:id="3"/>
      </w:r>
      <w:r w:rsidR="006F7835" w:rsidRPr="006C5784">
        <w:rPr>
          <w:rFonts w:ascii="Tahoma" w:eastAsia="MS PGothic" w:hAnsi="Tahoma" w:cs="Tahoma"/>
          <w:b/>
          <w:bCs/>
          <w:kern w:val="0"/>
          <w14:ligatures w14:val="none"/>
        </w:rPr>
        <w:t xml:space="preserve"> </w:t>
      </w:r>
      <w:r w:rsidR="00E021B7" w:rsidRPr="006C5784">
        <w:rPr>
          <w:rFonts w:ascii="Tahoma" w:eastAsia="MS PGothic" w:hAnsi="Tahoma" w:cs="Tahoma"/>
          <w:kern w:val="0"/>
          <w14:ligatures w14:val="none"/>
        </w:rPr>
        <w:t>Doing so</w:t>
      </w:r>
      <w:r w:rsidR="00C150BA" w:rsidRPr="006C5784">
        <w:rPr>
          <w:rFonts w:ascii="Tahoma" w:eastAsia="MS PGothic" w:hAnsi="Tahoma" w:cs="Tahoma"/>
          <w:kern w:val="0"/>
          <w14:ligatures w14:val="none"/>
        </w:rPr>
        <w:t xml:space="preserve"> is unnecessarily re-traumatizing</w:t>
      </w:r>
      <w:r w:rsidR="009E4BC0" w:rsidRPr="006C5784">
        <w:rPr>
          <w:rFonts w:ascii="Tahoma" w:eastAsia="MS PGothic" w:hAnsi="Tahoma" w:cs="Tahoma"/>
          <w:kern w:val="0"/>
          <w14:ligatures w14:val="none"/>
        </w:rPr>
        <w:t xml:space="preserve">, treats victims </w:t>
      </w:r>
      <w:r w:rsidR="00E353BE" w:rsidRPr="006C5784">
        <w:rPr>
          <w:rFonts w:ascii="Tahoma" w:eastAsia="MS PGothic" w:hAnsi="Tahoma" w:cs="Tahoma"/>
          <w:kern w:val="0"/>
          <w14:ligatures w14:val="none"/>
        </w:rPr>
        <w:t>as</w:t>
      </w:r>
      <w:r w:rsidR="009E4BC0" w:rsidRPr="006C5784">
        <w:rPr>
          <w:rFonts w:ascii="Tahoma" w:eastAsia="MS PGothic" w:hAnsi="Tahoma" w:cs="Tahoma"/>
          <w:kern w:val="0"/>
          <w14:ligatures w14:val="none"/>
        </w:rPr>
        <w:t xml:space="preserve"> perpetrators, and </w:t>
      </w:r>
      <w:r w:rsidR="00707CB5" w:rsidRPr="006C5784">
        <w:rPr>
          <w:rFonts w:ascii="Tahoma" w:eastAsia="MS PGothic" w:hAnsi="Tahoma" w:cs="Tahoma"/>
          <w:kern w:val="0"/>
          <w14:ligatures w14:val="none"/>
        </w:rPr>
        <w:t xml:space="preserve">generally </w:t>
      </w:r>
      <w:r w:rsidR="009E4BC0" w:rsidRPr="006C5784">
        <w:rPr>
          <w:rFonts w:ascii="Tahoma" w:eastAsia="MS PGothic" w:hAnsi="Tahoma" w:cs="Tahoma"/>
          <w:kern w:val="0"/>
          <w14:ligatures w14:val="none"/>
        </w:rPr>
        <w:t xml:space="preserve">does not serve the ends of justice. </w:t>
      </w:r>
      <w:r w:rsidR="00F00EA5" w:rsidRPr="006C5784">
        <w:rPr>
          <w:rFonts w:ascii="Tahoma" w:eastAsia="MS PGothic" w:hAnsi="Tahoma" w:cs="Tahoma"/>
          <w:kern w:val="0"/>
          <w14:ligatures w14:val="none"/>
        </w:rPr>
        <w:t xml:space="preserve">It </w:t>
      </w:r>
      <w:r w:rsidR="00D61708" w:rsidRPr="006C5784">
        <w:rPr>
          <w:rFonts w:ascii="Tahoma" w:eastAsia="MS PGothic" w:hAnsi="Tahoma" w:cs="Tahoma"/>
          <w:kern w:val="0"/>
          <w14:ligatures w14:val="none"/>
        </w:rPr>
        <w:t>is</w:t>
      </w:r>
      <w:r w:rsidR="00296CED" w:rsidRPr="006C5784">
        <w:rPr>
          <w:rFonts w:ascii="Tahoma" w:eastAsia="MS PGothic" w:hAnsi="Tahoma" w:cs="Tahoma"/>
          <w:kern w:val="0"/>
          <w14:ligatures w14:val="none"/>
        </w:rPr>
        <w:t xml:space="preserve"> </w:t>
      </w:r>
      <w:r w:rsidR="00B95401" w:rsidRPr="006C5784">
        <w:rPr>
          <w:rFonts w:ascii="Tahoma" w:eastAsia="MS PGothic" w:hAnsi="Tahoma" w:cs="Tahoma"/>
          <w:kern w:val="0"/>
          <w14:ligatures w14:val="none"/>
        </w:rPr>
        <w:t xml:space="preserve">an </w:t>
      </w:r>
      <w:r w:rsidR="00004C59" w:rsidRPr="006C5784">
        <w:rPr>
          <w:rFonts w:ascii="Tahoma" w:eastAsia="MS PGothic" w:hAnsi="Tahoma" w:cs="Tahoma"/>
          <w:kern w:val="0"/>
          <w14:ligatures w14:val="none"/>
        </w:rPr>
        <w:t xml:space="preserve">option of last resort that </w:t>
      </w:r>
      <w:r w:rsidR="00B95401" w:rsidRPr="006C5784">
        <w:rPr>
          <w:rFonts w:ascii="Tahoma" w:eastAsia="MS PGothic" w:hAnsi="Tahoma" w:cs="Tahoma"/>
          <w:kern w:val="0"/>
          <w14:ligatures w14:val="none"/>
        </w:rPr>
        <w:t>should</w:t>
      </w:r>
      <w:r w:rsidR="00004C59" w:rsidRPr="006C5784">
        <w:rPr>
          <w:rFonts w:ascii="Tahoma" w:eastAsia="MS PGothic" w:hAnsi="Tahoma" w:cs="Tahoma"/>
          <w:kern w:val="0"/>
          <w14:ligatures w14:val="none"/>
        </w:rPr>
        <w:t xml:space="preserve"> rarely, if ever</w:t>
      </w:r>
      <w:r w:rsidR="00184269" w:rsidRPr="006C5784">
        <w:rPr>
          <w:rFonts w:ascii="Tahoma" w:eastAsia="MS PGothic" w:hAnsi="Tahoma" w:cs="Tahoma"/>
          <w:kern w:val="0"/>
          <w14:ligatures w14:val="none"/>
        </w:rPr>
        <w:t>,</w:t>
      </w:r>
      <w:r w:rsidR="00004C59" w:rsidRPr="006C5784">
        <w:rPr>
          <w:rFonts w:ascii="Tahoma" w:eastAsia="MS PGothic" w:hAnsi="Tahoma" w:cs="Tahoma"/>
          <w:kern w:val="0"/>
          <w14:ligatures w14:val="none"/>
        </w:rPr>
        <w:t xml:space="preserve"> </w:t>
      </w:r>
      <w:r w:rsidR="00B95401" w:rsidRPr="006C5784">
        <w:rPr>
          <w:rFonts w:ascii="Tahoma" w:eastAsia="MS PGothic" w:hAnsi="Tahoma" w:cs="Tahoma"/>
          <w:kern w:val="0"/>
          <w14:ligatures w14:val="none"/>
        </w:rPr>
        <w:t xml:space="preserve">be </w:t>
      </w:r>
      <w:r w:rsidR="00004C59" w:rsidRPr="006C5784">
        <w:rPr>
          <w:rFonts w:ascii="Tahoma" w:eastAsia="MS PGothic" w:hAnsi="Tahoma" w:cs="Tahoma"/>
          <w:kern w:val="0"/>
          <w14:ligatures w14:val="none"/>
        </w:rPr>
        <w:t>used.</w:t>
      </w:r>
      <w:r w:rsidR="006F7835" w:rsidRPr="006C5784">
        <w:rPr>
          <w:rFonts w:ascii="Tahoma" w:eastAsia="MS PGothic" w:hAnsi="Tahoma" w:cs="Tahoma"/>
          <w:kern w:val="0"/>
          <w14:ligatures w14:val="none"/>
        </w:rPr>
        <w:t xml:space="preserve"> </w:t>
      </w:r>
      <w:r w:rsidR="008B774E" w:rsidRPr="006C5784">
        <w:rPr>
          <w:rFonts w:ascii="Tahoma" w:eastAsia="MS PGothic" w:hAnsi="Tahoma" w:cs="Tahoma"/>
          <w:kern w:val="0"/>
          <w14:ligatures w14:val="none"/>
        </w:rPr>
        <w:t xml:space="preserve">Prosecutors can build provable cases and </w:t>
      </w:r>
      <w:r w:rsidR="001B2442" w:rsidRPr="006C5784">
        <w:rPr>
          <w:rFonts w:ascii="Tahoma" w:eastAsia="MS PGothic" w:hAnsi="Tahoma" w:cs="Tahoma"/>
          <w:kern w:val="0"/>
          <w14:ligatures w14:val="none"/>
        </w:rPr>
        <w:t xml:space="preserve">ensure </w:t>
      </w:r>
      <w:r w:rsidR="00A5197A" w:rsidRPr="006C5784">
        <w:rPr>
          <w:rFonts w:ascii="Tahoma" w:eastAsia="MS PGothic" w:hAnsi="Tahoma" w:cs="Tahoma"/>
          <w:kern w:val="0"/>
          <w14:ligatures w14:val="none"/>
        </w:rPr>
        <w:t>victims</w:t>
      </w:r>
      <w:r w:rsidR="001B2442" w:rsidRPr="006C5784">
        <w:rPr>
          <w:rFonts w:ascii="Tahoma" w:eastAsia="MS PGothic" w:hAnsi="Tahoma" w:cs="Tahoma"/>
          <w:kern w:val="0"/>
          <w14:ligatures w14:val="none"/>
        </w:rPr>
        <w:t xml:space="preserve"> testify</w:t>
      </w:r>
      <w:r w:rsidR="008B774E" w:rsidRPr="006C5784">
        <w:rPr>
          <w:rFonts w:ascii="Tahoma" w:eastAsia="MS PGothic" w:hAnsi="Tahoma" w:cs="Tahoma"/>
          <w:kern w:val="0"/>
          <w14:ligatures w14:val="none"/>
        </w:rPr>
        <w:t xml:space="preserve"> at trial without having victims </w:t>
      </w:r>
      <w:r w:rsidR="00F00EA5" w:rsidRPr="006C5784">
        <w:rPr>
          <w:rFonts w:ascii="Tahoma" w:eastAsia="MS PGothic" w:hAnsi="Tahoma" w:cs="Tahoma"/>
          <w:kern w:val="0"/>
          <w14:ligatures w14:val="none"/>
        </w:rPr>
        <w:t xml:space="preserve">taken into custody </w:t>
      </w:r>
      <w:r w:rsidR="008B774E" w:rsidRPr="006C5784">
        <w:rPr>
          <w:rFonts w:ascii="Tahoma" w:eastAsia="MS PGothic" w:hAnsi="Tahoma" w:cs="Tahoma"/>
          <w:kern w:val="0"/>
          <w14:ligatures w14:val="none"/>
        </w:rPr>
        <w:t>to do so.</w:t>
      </w:r>
      <w:r w:rsidR="00E57E88" w:rsidRPr="006C5784">
        <w:rPr>
          <w:rFonts w:ascii="Tahoma" w:eastAsia="MS PGothic" w:hAnsi="Tahoma" w:cs="Tahoma"/>
          <w:kern w:val="0"/>
          <w14:ligatures w14:val="none"/>
        </w:rPr>
        <w:t xml:space="preserve"> </w:t>
      </w:r>
      <w:r w:rsidR="00D03747" w:rsidRPr="006C5784">
        <w:rPr>
          <w:rFonts w:ascii="Tahoma" w:eastAsia="MS PGothic" w:hAnsi="Tahoma" w:cs="Tahoma"/>
          <w:kern w:val="0"/>
          <w14:ligatures w14:val="none"/>
        </w:rPr>
        <w:t>Sections III-</w:t>
      </w:r>
      <w:r w:rsidR="00FE0170" w:rsidRPr="006C5784">
        <w:rPr>
          <w:rFonts w:ascii="Tahoma" w:eastAsia="MS PGothic" w:hAnsi="Tahoma" w:cs="Tahoma"/>
          <w:kern w:val="0"/>
          <w14:ligatures w14:val="none"/>
        </w:rPr>
        <w:t>I</w:t>
      </w:r>
      <w:r w:rsidR="00D03747" w:rsidRPr="006C5784">
        <w:rPr>
          <w:rFonts w:ascii="Tahoma" w:eastAsia="MS PGothic" w:hAnsi="Tahoma" w:cs="Tahoma"/>
          <w:kern w:val="0"/>
          <w14:ligatures w14:val="none"/>
        </w:rPr>
        <w:t xml:space="preserve">V below outline the process prosecutors should undertake to avoid compelling testimony </w:t>
      </w:r>
      <w:r w:rsidR="00BF0B90" w:rsidRPr="006C5784">
        <w:rPr>
          <w:rFonts w:ascii="Tahoma" w:eastAsia="MS PGothic" w:hAnsi="Tahoma" w:cs="Tahoma"/>
          <w:kern w:val="0"/>
          <w14:ligatures w14:val="none"/>
        </w:rPr>
        <w:t>in such a manner</w:t>
      </w:r>
      <w:r w:rsidR="00037519" w:rsidRPr="006C5784">
        <w:rPr>
          <w:rFonts w:ascii="Tahoma" w:eastAsia="MS PGothic" w:hAnsi="Tahoma" w:cs="Tahoma"/>
          <w:kern w:val="0"/>
          <w14:ligatures w14:val="none"/>
        </w:rPr>
        <w:t>, and</w:t>
      </w:r>
      <w:r w:rsidR="00184269" w:rsidRPr="006C5784">
        <w:rPr>
          <w:rFonts w:ascii="Tahoma" w:eastAsia="MS PGothic" w:hAnsi="Tahoma" w:cs="Tahoma"/>
          <w:kern w:val="0"/>
          <w14:ligatures w14:val="none"/>
        </w:rPr>
        <w:t>,</w:t>
      </w:r>
      <w:r w:rsidR="00037519" w:rsidRPr="006C5784">
        <w:rPr>
          <w:rFonts w:ascii="Tahoma" w:eastAsia="MS PGothic" w:hAnsi="Tahoma" w:cs="Tahoma"/>
          <w:kern w:val="0"/>
          <w14:ligatures w14:val="none"/>
        </w:rPr>
        <w:t xml:space="preserve"> where possible, prove cases without victim participation</w:t>
      </w:r>
      <w:r w:rsidR="00FE0170" w:rsidRPr="006C5784">
        <w:rPr>
          <w:rFonts w:ascii="Tahoma" w:eastAsia="MS PGothic" w:hAnsi="Tahoma" w:cs="Tahoma"/>
          <w:kern w:val="0"/>
          <w14:ligatures w14:val="none"/>
        </w:rPr>
        <w:t>.</w:t>
      </w:r>
      <w:r w:rsidR="008B0D23" w:rsidRPr="006C5784">
        <w:rPr>
          <w:rFonts w:ascii="Tahoma" w:eastAsia="MS PGothic" w:hAnsi="Tahoma" w:cs="Tahoma"/>
          <w:kern w:val="0"/>
          <w14:ligatures w14:val="none"/>
        </w:rPr>
        <w:t xml:space="preserve"> Section</w:t>
      </w:r>
      <w:r w:rsidR="00270CFE" w:rsidRPr="006C5784">
        <w:rPr>
          <w:rFonts w:ascii="Tahoma" w:eastAsia="MS PGothic" w:hAnsi="Tahoma" w:cs="Tahoma"/>
          <w:kern w:val="0"/>
          <w14:ligatures w14:val="none"/>
        </w:rPr>
        <w:t>s V-VII outline the extraordinary and limit</w:t>
      </w:r>
      <w:r w:rsidR="00FF6476" w:rsidRPr="006C5784">
        <w:rPr>
          <w:rFonts w:ascii="Tahoma" w:eastAsia="MS PGothic" w:hAnsi="Tahoma" w:cs="Tahoma"/>
          <w:kern w:val="0"/>
          <w14:ligatures w14:val="none"/>
        </w:rPr>
        <w:t>ed</w:t>
      </w:r>
      <w:r w:rsidR="00270CFE" w:rsidRPr="006C5784">
        <w:rPr>
          <w:rFonts w:ascii="Tahoma" w:eastAsia="MS PGothic" w:hAnsi="Tahoma" w:cs="Tahoma"/>
          <w:kern w:val="0"/>
          <w14:ligatures w14:val="none"/>
        </w:rPr>
        <w:t xml:space="preserve"> circumstances under which prosecutors ma</w:t>
      </w:r>
      <w:r w:rsidR="00FF6476" w:rsidRPr="006C5784">
        <w:rPr>
          <w:rFonts w:ascii="Tahoma" w:eastAsia="MS PGothic" w:hAnsi="Tahoma" w:cs="Tahoma"/>
          <w:kern w:val="0"/>
          <w14:ligatures w14:val="none"/>
        </w:rPr>
        <w:t>y</w:t>
      </w:r>
      <w:r w:rsidR="00270CFE" w:rsidRPr="006C5784">
        <w:rPr>
          <w:rFonts w:ascii="Tahoma" w:eastAsia="MS PGothic" w:hAnsi="Tahoma" w:cs="Tahoma"/>
          <w:kern w:val="0"/>
          <w14:ligatures w14:val="none"/>
        </w:rPr>
        <w:t xml:space="preserve"> seek arrests</w:t>
      </w:r>
      <w:r w:rsidR="00F00EA5" w:rsidRPr="006C5784">
        <w:rPr>
          <w:rFonts w:ascii="Tahoma" w:eastAsia="MS PGothic" w:hAnsi="Tahoma" w:cs="Tahoma"/>
          <w:kern w:val="0"/>
          <w14:ligatures w14:val="none"/>
        </w:rPr>
        <w:t xml:space="preserve"> or detention</w:t>
      </w:r>
      <w:r w:rsidR="00270CFE" w:rsidRPr="006C5784">
        <w:rPr>
          <w:rFonts w:ascii="Tahoma" w:eastAsia="MS PGothic" w:hAnsi="Tahoma" w:cs="Tahoma"/>
          <w:kern w:val="0"/>
          <w14:ligatures w14:val="none"/>
        </w:rPr>
        <w:t xml:space="preserve"> of victims to compel testimony, and the steps to take thereafter.</w:t>
      </w:r>
    </w:p>
    <w:p w14:paraId="6249D08E" w14:textId="77777777" w:rsidR="003D5940" w:rsidRPr="006C5784" w:rsidRDefault="003D5940" w:rsidP="003D5940">
      <w:pPr>
        <w:pStyle w:val="ListParagraph"/>
        <w:rPr>
          <w:rFonts w:ascii="Tahoma" w:eastAsia="MS PGothic" w:hAnsi="Tahoma" w:cs="Tahoma"/>
          <w:kern w:val="0"/>
          <w14:ligatures w14:val="none"/>
        </w:rPr>
      </w:pPr>
    </w:p>
    <w:p w14:paraId="78506FBE" w14:textId="684D4781" w:rsidR="0030749B" w:rsidRPr="006C5784" w:rsidRDefault="00D24A12" w:rsidP="006F7835">
      <w:pPr>
        <w:pStyle w:val="ListParagraph"/>
        <w:numPr>
          <w:ilvl w:val="0"/>
          <w:numId w:val="4"/>
        </w:numPr>
        <w:rPr>
          <w:rFonts w:ascii="Tahoma" w:eastAsia="MS PGothic" w:hAnsi="Tahoma" w:cs="Tahoma"/>
          <w:kern w:val="0"/>
          <w:u w:val="single"/>
          <w14:ligatures w14:val="none"/>
        </w:rPr>
      </w:pPr>
      <w:r w:rsidRPr="006C5784">
        <w:rPr>
          <w:rFonts w:ascii="Tahoma" w:eastAsia="MS PGothic" w:hAnsi="Tahoma" w:cs="Tahoma"/>
          <w:kern w:val="0"/>
          <w:u w:val="single"/>
          <w14:ligatures w14:val="none"/>
        </w:rPr>
        <w:t>Interacti</w:t>
      </w:r>
      <w:r w:rsidR="000F4DDB" w:rsidRPr="006C5784">
        <w:rPr>
          <w:rFonts w:ascii="Tahoma" w:eastAsia="MS PGothic" w:hAnsi="Tahoma" w:cs="Tahoma"/>
          <w:kern w:val="0"/>
          <w:u w:val="single"/>
          <w14:ligatures w14:val="none"/>
        </w:rPr>
        <w:t>ng</w:t>
      </w:r>
      <w:r w:rsidRPr="006C5784">
        <w:rPr>
          <w:rFonts w:ascii="Tahoma" w:eastAsia="MS PGothic" w:hAnsi="Tahoma" w:cs="Tahoma"/>
          <w:kern w:val="0"/>
          <w:u w:val="single"/>
          <w14:ligatures w14:val="none"/>
        </w:rPr>
        <w:t xml:space="preserve"> with Victims</w:t>
      </w:r>
      <w:r w:rsidR="00091589" w:rsidRPr="006C5784">
        <w:rPr>
          <w:rFonts w:ascii="Tahoma" w:eastAsia="MS PGothic" w:hAnsi="Tahoma" w:cs="Tahoma"/>
          <w:kern w:val="0"/>
          <w:u w:val="single"/>
          <w14:ligatures w14:val="none"/>
        </w:rPr>
        <w:t xml:space="preserve"> and Working with Victim</w:t>
      </w:r>
      <w:r w:rsidR="00DB32F0" w:rsidRPr="006C5784">
        <w:rPr>
          <w:rFonts w:ascii="Tahoma" w:eastAsia="MS PGothic" w:hAnsi="Tahoma" w:cs="Tahoma"/>
          <w:kern w:val="0"/>
          <w:u w:val="single"/>
          <w14:ligatures w14:val="none"/>
        </w:rPr>
        <w:t xml:space="preserve"> </w:t>
      </w:r>
      <w:r w:rsidR="00F00EA5" w:rsidRPr="006C5784">
        <w:rPr>
          <w:rFonts w:ascii="Tahoma" w:eastAsia="MS PGothic" w:hAnsi="Tahoma" w:cs="Tahoma"/>
          <w:kern w:val="0"/>
          <w:u w:val="single"/>
          <w14:ligatures w14:val="none"/>
        </w:rPr>
        <w:t>Advocates</w:t>
      </w:r>
    </w:p>
    <w:p w14:paraId="035E6C9E" w14:textId="77777777" w:rsidR="00407046" w:rsidRPr="006C5784" w:rsidRDefault="00407046" w:rsidP="00407046">
      <w:pPr>
        <w:pStyle w:val="ListParagraph"/>
        <w:rPr>
          <w:rFonts w:ascii="Tahoma" w:eastAsia="MS PGothic" w:hAnsi="Tahoma" w:cs="Tahoma"/>
          <w:kern w:val="0"/>
          <w:u w:val="single"/>
          <w14:ligatures w14:val="none"/>
        </w:rPr>
      </w:pPr>
    </w:p>
    <w:p w14:paraId="339E6D4B" w14:textId="03EDEFF8" w:rsidR="00D24A12" w:rsidRPr="006C5784" w:rsidRDefault="00B6551D" w:rsidP="00CC3F83">
      <w:pPr>
        <w:pStyle w:val="ListParagraph"/>
        <w:numPr>
          <w:ilvl w:val="0"/>
          <w:numId w:val="3"/>
        </w:numPr>
        <w:tabs>
          <w:tab w:val="left" w:pos="0"/>
        </w:tabs>
        <w:spacing w:after="0" w:line="240" w:lineRule="auto"/>
        <w:rPr>
          <w:rFonts w:ascii="Tahoma" w:eastAsia="MS PGothic" w:hAnsi="Tahoma" w:cs="Tahoma"/>
          <w:kern w:val="0"/>
          <w14:ligatures w14:val="none"/>
        </w:rPr>
      </w:pPr>
      <w:r w:rsidRPr="006C5784">
        <w:rPr>
          <w:rFonts w:ascii="Tahoma" w:eastAsia="MS PGothic" w:hAnsi="Tahoma" w:cs="Tahoma"/>
          <w:i/>
          <w:iCs/>
          <w:kern w:val="0"/>
          <w14:ligatures w14:val="none"/>
        </w:rPr>
        <w:t xml:space="preserve">Meet with Victims: </w:t>
      </w:r>
      <w:r w:rsidR="002F28F1" w:rsidRPr="006C5784">
        <w:rPr>
          <w:rFonts w:ascii="Tahoma" w:eastAsia="MS PGothic" w:hAnsi="Tahoma" w:cs="Tahoma"/>
          <w:kern w:val="0"/>
          <w14:ligatures w14:val="none"/>
        </w:rPr>
        <w:t>Prosecutors must meet with victims</w:t>
      </w:r>
      <w:r w:rsidR="00F00EA5" w:rsidRPr="006C5784">
        <w:rPr>
          <w:rFonts w:ascii="Tahoma" w:eastAsia="MS PGothic" w:hAnsi="Tahoma" w:cs="Tahoma"/>
          <w:kern w:val="0"/>
          <w14:ligatures w14:val="none"/>
        </w:rPr>
        <w:t>.</w:t>
      </w:r>
      <w:r w:rsidR="002F28F1" w:rsidRPr="006C5784">
        <w:rPr>
          <w:rFonts w:ascii="Tahoma" w:eastAsia="MS PGothic" w:hAnsi="Tahoma" w:cs="Tahoma"/>
          <w:kern w:val="0"/>
          <w14:ligatures w14:val="none"/>
        </w:rPr>
        <w:t xml:space="preserve"> Meeting with victim</w:t>
      </w:r>
      <w:r w:rsidR="00A0043D" w:rsidRPr="006C5784">
        <w:rPr>
          <w:rFonts w:ascii="Tahoma" w:eastAsia="MS PGothic" w:hAnsi="Tahoma" w:cs="Tahoma"/>
          <w:kern w:val="0"/>
          <w14:ligatures w14:val="none"/>
        </w:rPr>
        <w:t>s</w:t>
      </w:r>
      <w:r w:rsidR="002F28F1" w:rsidRPr="006C5784">
        <w:rPr>
          <w:rFonts w:ascii="Tahoma" w:eastAsia="MS PGothic" w:hAnsi="Tahoma" w:cs="Tahoma"/>
          <w:kern w:val="0"/>
          <w14:ligatures w14:val="none"/>
        </w:rPr>
        <w:t>, as early as possible in an investigation, is the most basic and effective way to evaluate the merits of a</w:t>
      </w:r>
      <w:r w:rsidR="00F00EA5" w:rsidRPr="006C5784">
        <w:rPr>
          <w:rFonts w:ascii="Tahoma" w:eastAsia="MS PGothic" w:hAnsi="Tahoma" w:cs="Tahoma"/>
          <w:kern w:val="0"/>
          <w14:ligatures w14:val="none"/>
        </w:rPr>
        <w:t xml:space="preserve"> case</w:t>
      </w:r>
      <w:r w:rsidR="002F28F1" w:rsidRPr="006C5784">
        <w:rPr>
          <w:rFonts w:ascii="Tahoma" w:eastAsia="MS PGothic" w:hAnsi="Tahoma" w:cs="Tahoma"/>
          <w:kern w:val="0"/>
          <w14:ligatures w14:val="none"/>
        </w:rPr>
        <w:t>, learn more about what happened, collaborate with investigators on additional investigative steps, and properly assess the viability of various statutory violations</w:t>
      </w:r>
      <w:r w:rsidR="00AD4C09" w:rsidRPr="006C5784">
        <w:rPr>
          <w:rFonts w:ascii="Tahoma" w:eastAsia="MS PGothic" w:hAnsi="Tahoma" w:cs="Tahoma"/>
          <w:kern w:val="0"/>
          <w14:ligatures w14:val="none"/>
        </w:rPr>
        <w:t>. It will also allow prosecutor</w:t>
      </w:r>
      <w:r w:rsidR="00525154" w:rsidRPr="006C5784">
        <w:rPr>
          <w:rFonts w:ascii="Tahoma" w:eastAsia="MS PGothic" w:hAnsi="Tahoma" w:cs="Tahoma"/>
          <w:kern w:val="0"/>
          <w14:ligatures w14:val="none"/>
        </w:rPr>
        <w:t>s</w:t>
      </w:r>
      <w:r w:rsidR="00AD4C09" w:rsidRPr="006C5784">
        <w:rPr>
          <w:rFonts w:ascii="Tahoma" w:eastAsia="MS PGothic" w:hAnsi="Tahoma" w:cs="Tahoma"/>
          <w:kern w:val="0"/>
          <w14:ligatures w14:val="none"/>
        </w:rPr>
        <w:t xml:space="preserve"> to gauge whether victim</w:t>
      </w:r>
      <w:r w:rsidR="00525154" w:rsidRPr="006C5784">
        <w:rPr>
          <w:rFonts w:ascii="Tahoma" w:eastAsia="MS PGothic" w:hAnsi="Tahoma" w:cs="Tahoma"/>
          <w:kern w:val="0"/>
          <w14:ligatures w14:val="none"/>
        </w:rPr>
        <w:t>s are</w:t>
      </w:r>
      <w:r w:rsidR="00AD4C09" w:rsidRPr="006C5784">
        <w:rPr>
          <w:rFonts w:ascii="Tahoma" w:eastAsia="MS PGothic" w:hAnsi="Tahoma" w:cs="Tahoma"/>
          <w:kern w:val="0"/>
          <w14:ligatures w14:val="none"/>
        </w:rPr>
        <w:t xml:space="preserve"> hesitant to proceed</w:t>
      </w:r>
      <w:r w:rsidR="00D24A12" w:rsidRPr="006C5784">
        <w:rPr>
          <w:rFonts w:ascii="Tahoma" w:eastAsia="MS PGothic" w:hAnsi="Tahoma" w:cs="Tahoma"/>
          <w:kern w:val="0"/>
          <w14:ligatures w14:val="none"/>
        </w:rPr>
        <w:t xml:space="preserve"> and</w:t>
      </w:r>
      <w:r w:rsidR="00AD4C09" w:rsidRPr="006C5784">
        <w:rPr>
          <w:rFonts w:ascii="Tahoma" w:eastAsia="MS PGothic" w:hAnsi="Tahoma" w:cs="Tahoma"/>
          <w:kern w:val="0"/>
          <w14:ligatures w14:val="none"/>
        </w:rPr>
        <w:t xml:space="preserve"> discuss and address</w:t>
      </w:r>
      <w:r w:rsidR="00091589" w:rsidRPr="006C5784">
        <w:rPr>
          <w:rFonts w:ascii="Tahoma" w:eastAsia="MS PGothic" w:hAnsi="Tahoma" w:cs="Tahoma"/>
          <w:kern w:val="0"/>
          <w14:ligatures w14:val="none"/>
        </w:rPr>
        <w:t xml:space="preserve"> with victims</w:t>
      </w:r>
      <w:r w:rsidR="00AD4C09" w:rsidRPr="006C5784">
        <w:rPr>
          <w:rFonts w:ascii="Tahoma" w:eastAsia="MS PGothic" w:hAnsi="Tahoma" w:cs="Tahoma"/>
          <w:kern w:val="0"/>
          <w14:ligatures w14:val="none"/>
        </w:rPr>
        <w:t xml:space="preserve"> their reasons for hesitance</w:t>
      </w:r>
      <w:r w:rsidR="00D24A12" w:rsidRPr="006C5784">
        <w:rPr>
          <w:rFonts w:ascii="Tahoma" w:eastAsia="MS PGothic" w:hAnsi="Tahoma" w:cs="Tahoma"/>
          <w:kern w:val="0"/>
          <w14:ligatures w14:val="none"/>
        </w:rPr>
        <w:t xml:space="preserve">. </w:t>
      </w:r>
      <w:r w:rsidR="00543E33" w:rsidRPr="006C5784">
        <w:rPr>
          <w:rFonts w:ascii="Tahoma" w:eastAsia="MS PGothic" w:hAnsi="Tahoma" w:cs="Tahoma"/>
          <w:kern w:val="0"/>
          <w14:ligatures w14:val="none"/>
        </w:rPr>
        <w:t xml:space="preserve">There is a difference between hesitance or reluctance and outright refusal to participate. </w:t>
      </w:r>
      <w:r w:rsidR="00D21F41" w:rsidRPr="006C5784">
        <w:rPr>
          <w:rFonts w:ascii="Tahoma" w:eastAsia="MS PGothic" w:hAnsi="Tahoma" w:cs="Tahoma"/>
          <w:kern w:val="0"/>
          <w14:ligatures w14:val="none"/>
        </w:rPr>
        <w:t>Prosecutors must take care</w:t>
      </w:r>
      <w:r w:rsidR="00316263" w:rsidRPr="006C5784">
        <w:rPr>
          <w:rFonts w:ascii="Tahoma" w:eastAsia="MS PGothic" w:hAnsi="Tahoma" w:cs="Tahoma"/>
          <w:kern w:val="0"/>
          <w14:ligatures w14:val="none"/>
        </w:rPr>
        <w:t xml:space="preserve"> not to conflate the two.</w:t>
      </w:r>
      <w:r w:rsidR="0096288C" w:rsidRPr="006C5784">
        <w:rPr>
          <w:rFonts w:ascii="Tahoma" w:eastAsia="MS PGothic" w:hAnsi="Tahoma" w:cs="Tahoma"/>
          <w:kern w:val="0"/>
          <w14:ligatures w14:val="none"/>
        </w:rPr>
        <w:t xml:space="preserve"> </w:t>
      </w:r>
      <w:r w:rsidR="00AE54ED" w:rsidRPr="006C5784">
        <w:rPr>
          <w:rFonts w:ascii="Tahoma" w:eastAsia="MS PGothic" w:hAnsi="Tahoma" w:cs="Tahoma"/>
          <w:kern w:val="0"/>
          <w14:ligatures w14:val="none"/>
        </w:rPr>
        <w:t>T</w:t>
      </w:r>
      <w:r w:rsidR="008A197C" w:rsidRPr="006C5784">
        <w:rPr>
          <w:rFonts w:ascii="Tahoma" w:eastAsia="MS PGothic" w:hAnsi="Tahoma" w:cs="Tahoma"/>
          <w:kern w:val="0"/>
          <w14:ligatures w14:val="none"/>
        </w:rPr>
        <w:t>he information</w:t>
      </w:r>
      <w:r w:rsidR="0011412C" w:rsidRPr="006C5784">
        <w:rPr>
          <w:rFonts w:ascii="Tahoma" w:eastAsia="MS PGothic" w:hAnsi="Tahoma" w:cs="Tahoma"/>
          <w:kern w:val="0"/>
          <w14:ligatures w14:val="none"/>
        </w:rPr>
        <w:t xml:space="preserve"> that a victim provides</w:t>
      </w:r>
      <w:r w:rsidR="00AE54ED" w:rsidRPr="006C5784">
        <w:rPr>
          <w:rFonts w:ascii="Tahoma" w:eastAsia="MS PGothic" w:hAnsi="Tahoma" w:cs="Tahoma"/>
          <w:kern w:val="0"/>
          <w14:ligatures w14:val="none"/>
        </w:rPr>
        <w:t xml:space="preserve"> when meeting with the prosecutor</w:t>
      </w:r>
      <w:r w:rsidR="00F00EA5" w:rsidRPr="006C5784">
        <w:rPr>
          <w:rFonts w:ascii="Tahoma" w:eastAsia="MS PGothic" w:hAnsi="Tahoma" w:cs="Tahoma"/>
          <w:kern w:val="0"/>
          <w14:ligatures w14:val="none"/>
        </w:rPr>
        <w:t xml:space="preserve">, both in </w:t>
      </w:r>
      <w:r w:rsidR="0041452B" w:rsidRPr="006C5784">
        <w:rPr>
          <w:rFonts w:ascii="Tahoma" w:eastAsia="MS PGothic" w:hAnsi="Tahoma" w:cs="Tahoma"/>
          <w:kern w:val="0"/>
          <w14:ligatures w14:val="none"/>
        </w:rPr>
        <w:t xml:space="preserve">substance and the context in which it is given, </w:t>
      </w:r>
      <w:r w:rsidR="0096288C" w:rsidRPr="006C5784">
        <w:rPr>
          <w:rFonts w:ascii="Tahoma" w:eastAsia="MS PGothic" w:hAnsi="Tahoma" w:cs="Tahoma"/>
          <w:kern w:val="0"/>
          <w14:ligatures w14:val="none"/>
        </w:rPr>
        <w:t>may then inform a prosecutor’s next steps</w:t>
      </w:r>
      <w:r w:rsidR="003D6B39" w:rsidRPr="006C5784">
        <w:rPr>
          <w:rFonts w:ascii="Tahoma" w:eastAsia="MS PGothic" w:hAnsi="Tahoma" w:cs="Tahoma"/>
          <w:kern w:val="0"/>
          <w14:ligatures w14:val="none"/>
        </w:rPr>
        <w:t xml:space="preserve">, and </w:t>
      </w:r>
      <w:r w:rsidR="009D6C99" w:rsidRPr="006C5784">
        <w:rPr>
          <w:rFonts w:ascii="Tahoma" w:eastAsia="MS PGothic" w:hAnsi="Tahoma" w:cs="Tahoma"/>
          <w:kern w:val="0"/>
          <w14:ligatures w14:val="none"/>
        </w:rPr>
        <w:t xml:space="preserve">it </w:t>
      </w:r>
      <w:r w:rsidR="003D6B39" w:rsidRPr="006C5784">
        <w:rPr>
          <w:rFonts w:ascii="Tahoma" w:eastAsia="MS PGothic" w:hAnsi="Tahoma" w:cs="Tahoma"/>
          <w:kern w:val="0"/>
          <w14:ligatures w14:val="none"/>
        </w:rPr>
        <w:t>may make for more meaningful discussions about</w:t>
      </w:r>
      <w:r w:rsidR="00BE691D" w:rsidRPr="006C5784">
        <w:rPr>
          <w:rFonts w:ascii="Tahoma" w:eastAsia="MS PGothic" w:hAnsi="Tahoma" w:cs="Tahoma"/>
          <w:kern w:val="0"/>
          <w14:ligatures w14:val="none"/>
        </w:rPr>
        <w:t xml:space="preserve"> charging decisions and </w:t>
      </w:r>
      <w:r w:rsidR="003D6B39" w:rsidRPr="006C5784">
        <w:rPr>
          <w:rFonts w:ascii="Tahoma" w:eastAsia="MS PGothic" w:hAnsi="Tahoma" w:cs="Tahoma"/>
          <w:kern w:val="0"/>
          <w14:ligatures w14:val="none"/>
        </w:rPr>
        <w:t>plea offers</w:t>
      </w:r>
      <w:r w:rsidR="0096288C" w:rsidRPr="006C5784">
        <w:rPr>
          <w:rFonts w:ascii="Tahoma" w:eastAsia="MS PGothic" w:hAnsi="Tahoma" w:cs="Tahoma"/>
          <w:kern w:val="0"/>
          <w14:ligatures w14:val="none"/>
        </w:rPr>
        <w:t>.</w:t>
      </w:r>
    </w:p>
    <w:p w14:paraId="6BE7B39B" w14:textId="77777777" w:rsidR="00091589" w:rsidRPr="006C5784" w:rsidRDefault="00091589" w:rsidP="00091589">
      <w:pPr>
        <w:tabs>
          <w:tab w:val="left" w:pos="0"/>
        </w:tabs>
        <w:spacing w:after="0" w:line="240" w:lineRule="auto"/>
        <w:rPr>
          <w:rFonts w:ascii="Tahoma" w:eastAsia="MS PGothic" w:hAnsi="Tahoma" w:cs="Tahoma"/>
          <w:kern w:val="0"/>
          <w14:ligatures w14:val="none"/>
        </w:rPr>
      </w:pPr>
    </w:p>
    <w:p w14:paraId="306FDF38" w14:textId="2FD28CD2" w:rsidR="003F29BA" w:rsidRPr="006C5784" w:rsidRDefault="00C15248" w:rsidP="00642D18">
      <w:pPr>
        <w:pStyle w:val="ListParagraph"/>
        <w:numPr>
          <w:ilvl w:val="0"/>
          <w:numId w:val="3"/>
        </w:numPr>
        <w:tabs>
          <w:tab w:val="left" w:pos="0"/>
        </w:tabs>
        <w:spacing w:after="0" w:line="240" w:lineRule="auto"/>
        <w:rPr>
          <w:rFonts w:ascii="Tahoma" w:eastAsia="MS PGothic" w:hAnsi="Tahoma" w:cs="Tahoma"/>
          <w:kern w:val="0"/>
          <w14:ligatures w14:val="none"/>
        </w:rPr>
      </w:pPr>
      <w:r w:rsidRPr="006C5784">
        <w:rPr>
          <w:rFonts w:ascii="Tahoma" w:eastAsia="MS PGothic" w:hAnsi="Tahoma" w:cs="Tahoma"/>
          <w:i/>
          <w:iCs/>
          <w:kern w:val="0"/>
          <w14:ligatures w14:val="none"/>
        </w:rPr>
        <w:t xml:space="preserve">Work with </w:t>
      </w:r>
      <w:r w:rsidR="0041452B" w:rsidRPr="006C5784">
        <w:rPr>
          <w:rFonts w:ascii="Tahoma" w:eastAsia="MS PGothic" w:hAnsi="Tahoma" w:cs="Tahoma"/>
          <w:i/>
          <w:iCs/>
          <w:kern w:val="0"/>
          <w14:ligatures w14:val="none"/>
        </w:rPr>
        <w:t>Victim Advocates</w:t>
      </w:r>
      <w:r w:rsidRPr="006C5784">
        <w:rPr>
          <w:rFonts w:ascii="Tahoma" w:eastAsia="MS PGothic" w:hAnsi="Tahoma" w:cs="Tahoma"/>
          <w:i/>
          <w:iCs/>
          <w:kern w:val="0"/>
          <w14:ligatures w14:val="none"/>
        </w:rPr>
        <w:t xml:space="preserve">: </w:t>
      </w:r>
      <w:r w:rsidR="00D24A12" w:rsidRPr="006C5784">
        <w:rPr>
          <w:rFonts w:ascii="Tahoma" w:eastAsia="MS PGothic" w:hAnsi="Tahoma" w:cs="Tahoma"/>
          <w:kern w:val="0"/>
          <w14:ligatures w14:val="none"/>
        </w:rPr>
        <w:t xml:space="preserve">Prosecutors should work with </w:t>
      </w:r>
      <w:r w:rsidR="0041452B" w:rsidRPr="006C5784">
        <w:rPr>
          <w:rFonts w:ascii="Tahoma" w:eastAsia="MS PGothic" w:hAnsi="Tahoma" w:cs="Tahoma"/>
          <w:kern w:val="0"/>
          <w14:ligatures w14:val="none"/>
        </w:rPr>
        <w:t>victim advocates</w:t>
      </w:r>
      <w:r w:rsidR="00D61708" w:rsidRPr="006C5784">
        <w:rPr>
          <w:rFonts w:ascii="Tahoma" w:eastAsia="MS PGothic" w:hAnsi="Tahoma" w:cs="Tahoma"/>
          <w:kern w:val="0"/>
          <w14:ligatures w14:val="none"/>
        </w:rPr>
        <w:t>.</w:t>
      </w:r>
      <w:r w:rsidR="00091589" w:rsidRPr="006C5784">
        <w:rPr>
          <w:rFonts w:ascii="Tahoma" w:eastAsia="MS PGothic" w:hAnsi="Tahoma" w:cs="Tahoma"/>
          <w:kern w:val="0"/>
          <w14:ligatures w14:val="none"/>
        </w:rPr>
        <w:t xml:space="preserve"> </w:t>
      </w:r>
      <w:r w:rsidR="00351D2A" w:rsidRPr="006C5784">
        <w:rPr>
          <w:rFonts w:ascii="Tahoma" w:eastAsia="MS PGothic" w:hAnsi="Tahoma" w:cs="Tahoma"/>
          <w:kern w:val="0"/>
          <w14:ligatures w14:val="none"/>
        </w:rPr>
        <w:t>This office’s</w:t>
      </w:r>
      <w:r w:rsidR="0041452B" w:rsidRPr="006C5784">
        <w:rPr>
          <w:rFonts w:ascii="Tahoma" w:eastAsia="MS PGothic" w:hAnsi="Tahoma" w:cs="Tahoma"/>
          <w:kern w:val="0"/>
          <w14:ligatures w14:val="none"/>
        </w:rPr>
        <w:t xml:space="preserve"> v</w:t>
      </w:r>
      <w:r w:rsidR="00091589" w:rsidRPr="006C5784">
        <w:rPr>
          <w:rFonts w:ascii="Tahoma" w:eastAsia="MS PGothic" w:hAnsi="Tahoma" w:cs="Tahoma"/>
          <w:kern w:val="0"/>
          <w14:ligatures w14:val="none"/>
        </w:rPr>
        <w:t xml:space="preserve">ictim </w:t>
      </w:r>
      <w:r w:rsidR="0041452B" w:rsidRPr="006C5784">
        <w:rPr>
          <w:rFonts w:ascii="Tahoma" w:eastAsia="MS PGothic" w:hAnsi="Tahoma" w:cs="Tahoma"/>
          <w:kern w:val="0"/>
          <w14:ligatures w14:val="none"/>
        </w:rPr>
        <w:t>advocates</w:t>
      </w:r>
      <w:r w:rsidR="00351D2A" w:rsidRPr="006C5784">
        <w:rPr>
          <w:rFonts w:ascii="Tahoma" w:eastAsia="MS PGothic" w:hAnsi="Tahoma" w:cs="Tahoma"/>
          <w:kern w:val="0"/>
          <w14:ligatures w14:val="none"/>
        </w:rPr>
        <w:t xml:space="preserve"> </w:t>
      </w:r>
      <w:r w:rsidR="00B65259" w:rsidRPr="006C5784">
        <w:rPr>
          <w:rFonts w:ascii="Tahoma" w:eastAsia="MS PGothic" w:hAnsi="Tahoma" w:cs="Tahoma"/>
          <w:kern w:val="0"/>
          <w14:ligatures w14:val="none"/>
        </w:rPr>
        <w:t>should</w:t>
      </w:r>
      <w:r w:rsidR="00D420A4" w:rsidRPr="006C5784">
        <w:rPr>
          <w:rFonts w:ascii="Tahoma" w:eastAsia="MS PGothic" w:hAnsi="Tahoma" w:cs="Tahoma"/>
          <w:kern w:val="0"/>
          <w14:ligatures w14:val="none"/>
        </w:rPr>
        <w:t xml:space="preserve"> regularly</w:t>
      </w:r>
      <w:r w:rsidR="00091589" w:rsidRPr="006C5784">
        <w:rPr>
          <w:rFonts w:ascii="Tahoma" w:eastAsia="MS PGothic" w:hAnsi="Tahoma" w:cs="Tahoma"/>
          <w:kern w:val="0"/>
          <w14:ligatures w14:val="none"/>
        </w:rPr>
        <w:t xml:space="preserve"> c</w:t>
      </w:r>
      <w:r w:rsidR="00D420A4" w:rsidRPr="006C5784">
        <w:rPr>
          <w:rFonts w:ascii="Tahoma" w:eastAsia="MS PGothic" w:hAnsi="Tahoma" w:cs="Tahoma"/>
          <w:kern w:val="0"/>
          <w14:ligatures w14:val="none"/>
        </w:rPr>
        <w:t>heck in</w:t>
      </w:r>
      <w:r w:rsidR="00091589" w:rsidRPr="006C5784">
        <w:rPr>
          <w:rFonts w:ascii="Tahoma" w:eastAsia="MS PGothic" w:hAnsi="Tahoma" w:cs="Tahoma"/>
          <w:kern w:val="0"/>
          <w14:ligatures w14:val="none"/>
        </w:rPr>
        <w:t xml:space="preserve"> with victims</w:t>
      </w:r>
      <w:r w:rsidR="00D420A4" w:rsidRPr="006C5784">
        <w:rPr>
          <w:rFonts w:ascii="Tahoma" w:eastAsia="MS PGothic" w:hAnsi="Tahoma" w:cs="Tahoma"/>
          <w:kern w:val="0"/>
          <w14:ligatures w14:val="none"/>
        </w:rPr>
        <w:t>, per victi</w:t>
      </w:r>
      <w:r w:rsidR="00BA684C" w:rsidRPr="006C5784">
        <w:rPr>
          <w:rFonts w:ascii="Tahoma" w:eastAsia="MS PGothic" w:hAnsi="Tahoma" w:cs="Tahoma"/>
          <w:kern w:val="0"/>
          <w14:ligatures w14:val="none"/>
        </w:rPr>
        <w:t>ms’ preferences</w:t>
      </w:r>
      <w:r w:rsidR="00091589" w:rsidRPr="006C5784">
        <w:rPr>
          <w:rFonts w:ascii="Tahoma" w:eastAsia="MS PGothic" w:hAnsi="Tahoma" w:cs="Tahoma"/>
          <w:kern w:val="0"/>
          <w14:ligatures w14:val="none"/>
        </w:rPr>
        <w:t xml:space="preserve">, </w:t>
      </w:r>
      <w:r w:rsidR="007A5C09" w:rsidRPr="006C5784">
        <w:rPr>
          <w:rFonts w:ascii="Tahoma" w:eastAsia="MS PGothic" w:hAnsi="Tahoma" w:cs="Tahoma"/>
          <w:kern w:val="0"/>
          <w14:ligatures w14:val="none"/>
        </w:rPr>
        <w:t xml:space="preserve">and work to </w:t>
      </w:r>
      <w:r w:rsidR="00091589" w:rsidRPr="006C5784">
        <w:rPr>
          <w:rFonts w:ascii="Tahoma" w:eastAsia="MS PGothic" w:hAnsi="Tahoma" w:cs="Tahoma"/>
          <w:kern w:val="0"/>
          <w14:ligatures w14:val="none"/>
        </w:rPr>
        <w:t xml:space="preserve">allay </w:t>
      </w:r>
      <w:r w:rsidR="00BA684C" w:rsidRPr="006C5784">
        <w:rPr>
          <w:rFonts w:ascii="Tahoma" w:eastAsia="MS PGothic" w:hAnsi="Tahoma" w:cs="Tahoma"/>
          <w:kern w:val="0"/>
          <w14:ligatures w14:val="none"/>
        </w:rPr>
        <w:t>victims’</w:t>
      </w:r>
      <w:r w:rsidR="00091589" w:rsidRPr="006C5784">
        <w:rPr>
          <w:rFonts w:ascii="Tahoma" w:eastAsia="MS PGothic" w:hAnsi="Tahoma" w:cs="Tahoma"/>
          <w:kern w:val="0"/>
          <w14:ligatures w14:val="none"/>
        </w:rPr>
        <w:t xml:space="preserve"> concerns</w:t>
      </w:r>
      <w:r w:rsidR="00BA684C" w:rsidRPr="006C5784">
        <w:rPr>
          <w:rFonts w:ascii="Tahoma" w:eastAsia="MS PGothic" w:hAnsi="Tahoma" w:cs="Tahoma"/>
          <w:kern w:val="0"/>
          <w14:ligatures w14:val="none"/>
        </w:rPr>
        <w:t>, particularly</w:t>
      </w:r>
      <w:r w:rsidR="00091589" w:rsidRPr="006C5784">
        <w:rPr>
          <w:rFonts w:ascii="Tahoma" w:eastAsia="MS PGothic" w:hAnsi="Tahoma" w:cs="Tahoma"/>
          <w:kern w:val="0"/>
          <w14:ligatures w14:val="none"/>
        </w:rPr>
        <w:t xml:space="preserve"> when </w:t>
      </w:r>
      <w:r w:rsidR="00AD6F4E" w:rsidRPr="006C5784">
        <w:rPr>
          <w:rFonts w:ascii="Tahoma" w:eastAsia="MS PGothic" w:hAnsi="Tahoma" w:cs="Tahoma"/>
          <w:kern w:val="0"/>
          <w14:ligatures w14:val="none"/>
        </w:rPr>
        <w:t>victims</w:t>
      </w:r>
      <w:r w:rsidR="00091589" w:rsidRPr="006C5784">
        <w:rPr>
          <w:rFonts w:ascii="Tahoma" w:eastAsia="MS PGothic" w:hAnsi="Tahoma" w:cs="Tahoma"/>
          <w:kern w:val="0"/>
          <w14:ligatures w14:val="none"/>
        </w:rPr>
        <w:t xml:space="preserve"> receive automatic victim notifications or see case updates on the court’s website</w:t>
      </w:r>
      <w:r w:rsidR="007A5C09" w:rsidRPr="006C5784">
        <w:rPr>
          <w:rFonts w:ascii="Tahoma" w:eastAsia="MS PGothic" w:hAnsi="Tahoma" w:cs="Tahoma"/>
          <w:kern w:val="0"/>
          <w14:ligatures w14:val="none"/>
        </w:rPr>
        <w:t xml:space="preserve">. </w:t>
      </w:r>
      <w:r w:rsidR="009D6C99" w:rsidRPr="006C5784">
        <w:rPr>
          <w:rFonts w:ascii="Tahoma" w:eastAsia="MS PGothic" w:hAnsi="Tahoma" w:cs="Tahoma"/>
          <w:kern w:val="0"/>
          <w14:ligatures w14:val="none"/>
        </w:rPr>
        <w:t xml:space="preserve">They </w:t>
      </w:r>
      <w:r w:rsidR="007A5C09" w:rsidRPr="006C5784">
        <w:rPr>
          <w:rFonts w:ascii="Tahoma" w:eastAsia="MS PGothic" w:hAnsi="Tahoma" w:cs="Tahoma"/>
          <w:kern w:val="0"/>
          <w14:ligatures w14:val="none"/>
        </w:rPr>
        <w:t xml:space="preserve">should </w:t>
      </w:r>
      <w:r w:rsidR="00091589" w:rsidRPr="006C5784">
        <w:rPr>
          <w:rFonts w:ascii="Tahoma" w:eastAsia="MS PGothic" w:hAnsi="Tahoma" w:cs="Tahoma"/>
          <w:kern w:val="0"/>
          <w14:ligatures w14:val="none"/>
        </w:rPr>
        <w:t>help victims understand the criminal justice system</w:t>
      </w:r>
      <w:r w:rsidR="0069725A" w:rsidRPr="006C5784">
        <w:rPr>
          <w:rFonts w:ascii="Tahoma" w:eastAsia="MS PGothic" w:hAnsi="Tahoma" w:cs="Tahoma"/>
          <w:kern w:val="0"/>
          <w14:ligatures w14:val="none"/>
        </w:rPr>
        <w:t xml:space="preserve"> and court process</w:t>
      </w:r>
      <w:r w:rsidR="00A671C8" w:rsidRPr="006C5784">
        <w:rPr>
          <w:rFonts w:ascii="Tahoma" w:eastAsia="MS PGothic" w:hAnsi="Tahoma" w:cs="Tahoma"/>
          <w:kern w:val="0"/>
          <w14:ligatures w14:val="none"/>
        </w:rPr>
        <w:t xml:space="preserve"> and </w:t>
      </w:r>
      <w:r w:rsidR="0069725A" w:rsidRPr="006C5784">
        <w:rPr>
          <w:rFonts w:ascii="Tahoma" w:eastAsia="MS PGothic" w:hAnsi="Tahoma" w:cs="Tahoma"/>
          <w:kern w:val="0"/>
          <w14:ligatures w14:val="none"/>
        </w:rPr>
        <w:t>help</w:t>
      </w:r>
      <w:r w:rsidR="00091589" w:rsidRPr="006C5784">
        <w:rPr>
          <w:rFonts w:ascii="Tahoma" w:eastAsia="MS PGothic" w:hAnsi="Tahoma" w:cs="Tahoma"/>
          <w:kern w:val="0"/>
          <w14:ligatures w14:val="none"/>
        </w:rPr>
        <w:t xml:space="preserve"> stabilize victims</w:t>
      </w:r>
      <w:r w:rsidR="00B36C2A" w:rsidRPr="006C5784">
        <w:rPr>
          <w:rFonts w:ascii="Tahoma" w:eastAsia="MS PGothic" w:hAnsi="Tahoma" w:cs="Tahoma"/>
          <w:kern w:val="0"/>
          <w14:ligatures w14:val="none"/>
        </w:rPr>
        <w:t>. This includes referring victims to</w:t>
      </w:r>
      <w:r w:rsidR="00091589" w:rsidRPr="006C5784">
        <w:rPr>
          <w:rFonts w:ascii="Tahoma" w:eastAsia="MS PGothic" w:hAnsi="Tahoma" w:cs="Tahoma"/>
          <w:kern w:val="0"/>
          <w14:ligatures w14:val="none"/>
        </w:rPr>
        <w:t xml:space="preserve"> community-based victim advocates</w:t>
      </w:r>
      <w:r w:rsidR="00C36613" w:rsidRPr="006C5784">
        <w:rPr>
          <w:rFonts w:ascii="Tahoma" w:eastAsia="MS PGothic" w:hAnsi="Tahoma" w:cs="Tahoma"/>
          <w:kern w:val="0"/>
          <w14:ligatures w14:val="none"/>
        </w:rPr>
        <w:t>,</w:t>
      </w:r>
      <w:r w:rsidR="00B36C2A" w:rsidRPr="006C5784">
        <w:rPr>
          <w:rFonts w:ascii="Tahoma" w:eastAsia="MS PGothic" w:hAnsi="Tahoma" w:cs="Tahoma"/>
          <w:kern w:val="0"/>
          <w14:ligatures w14:val="none"/>
        </w:rPr>
        <w:t xml:space="preserve"> who may </w:t>
      </w:r>
      <w:r w:rsidR="00322AD4" w:rsidRPr="006C5784">
        <w:rPr>
          <w:rFonts w:ascii="Tahoma" w:eastAsia="MS PGothic" w:hAnsi="Tahoma" w:cs="Tahoma"/>
          <w:kern w:val="0"/>
          <w14:ligatures w14:val="none"/>
        </w:rPr>
        <w:t>operate with</w:t>
      </w:r>
      <w:r w:rsidR="00A77234" w:rsidRPr="006C5784">
        <w:rPr>
          <w:rFonts w:ascii="Tahoma" w:eastAsia="MS PGothic" w:hAnsi="Tahoma" w:cs="Tahoma"/>
          <w:kern w:val="0"/>
          <w14:ligatures w14:val="none"/>
        </w:rPr>
        <w:t xml:space="preserve"> </w:t>
      </w:r>
      <w:r w:rsidR="001E5A69" w:rsidRPr="006C5784">
        <w:rPr>
          <w:rFonts w:ascii="Tahoma" w:eastAsia="MS PGothic" w:hAnsi="Tahoma" w:cs="Tahoma"/>
          <w:kern w:val="0"/>
          <w14:ligatures w14:val="none"/>
        </w:rPr>
        <w:t>some</w:t>
      </w:r>
      <w:r w:rsidR="00A77234" w:rsidRPr="006C5784">
        <w:rPr>
          <w:rFonts w:ascii="Tahoma" w:eastAsia="MS PGothic" w:hAnsi="Tahoma" w:cs="Tahoma"/>
          <w:kern w:val="0"/>
          <w14:ligatures w14:val="none"/>
        </w:rPr>
        <w:t xml:space="preserve"> level of </w:t>
      </w:r>
      <w:r w:rsidR="00B36C2A" w:rsidRPr="006C5784">
        <w:rPr>
          <w:rFonts w:ascii="Tahoma" w:eastAsia="MS PGothic" w:hAnsi="Tahoma" w:cs="Tahoma"/>
          <w:kern w:val="0"/>
          <w14:ligatures w14:val="none"/>
        </w:rPr>
        <w:t xml:space="preserve">confidentiality and </w:t>
      </w:r>
      <w:r w:rsidR="00DB32F0" w:rsidRPr="006C5784">
        <w:rPr>
          <w:rFonts w:ascii="Tahoma" w:eastAsia="MS PGothic" w:hAnsi="Tahoma" w:cs="Tahoma"/>
          <w:kern w:val="0"/>
          <w14:ligatures w14:val="none"/>
        </w:rPr>
        <w:t>be</w:t>
      </w:r>
      <w:r w:rsidR="00C36613" w:rsidRPr="006C5784">
        <w:rPr>
          <w:rFonts w:ascii="Tahoma" w:eastAsia="MS PGothic" w:hAnsi="Tahoma" w:cs="Tahoma"/>
          <w:kern w:val="0"/>
          <w14:ligatures w14:val="none"/>
        </w:rPr>
        <w:t xml:space="preserve"> </w:t>
      </w:r>
      <w:r w:rsidR="009C7A47" w:rsidRPr="006C5784">
        <w:rPr>
          <w:rFonts w:ascii="Tahoma" w:eastAsia="MS PGothic" w:hAnsi="Tahoma" w:cs="Tahoma"/>
          <w:kern w:val="0"/>
          <w14:ligatures w14:val="none"/>
        </w:rPr>
        <w:t xml:space="preserve">better </w:t>
      </w:r>
      <w:r w:rsidR="00C36613" w:rsidRPr="006C5784">
        <w:rPr>
          <w:rFonts w:ascii="Tahoma" w:eastAsia="MS PGothic" w:hAnsi="Tahoma" w:cs="Tahoma"/>
          <w:kern w:val="0"/>
          <w14:ligatures w14:val="none"/>
        </w:rPr>
        <w:t>able to respond more directly to a victim’s needs</w:t>
      </w:r>
      <w:r w:rsidR="00214C4B" w:rsidRPr="006C5784">
        <w:rPr>
          <w:rFonts w:ascii="Tahoma" w:eastAsia="MS PGothic" w:hAnsi="Tahoma" w:cs="Tahoma"/>
          <w:kern w:val="0"/>
          <w14:ligatures w14:val="none"/>
        </w:rPr>
        <w:t xml:space="preserve"> and provide trauma-informed services and support</w:t>
      </w:r>
      <w:r w:rsidR="00091589" w:rsidRPr="006C5784">
        <w:rPr>
          <w:rFonts w:ascii="Tahoma" w:eastAsia="MS PGothic" w:hAnsi="Tahoma" w:cs="Tahoma"/>
          <w:kern w:val="0"/>
          <w14:ligatures w14:val="none"/>
        </w:rPr>
        <w:t>. Ensuring the well-being of victim</w:t>
      </w:r>
      <w:r w:rsidR="00CC38EE" w:rsidRPr="006C5784">
        <w:rPr>
          <w:rFonts w:ascii="Tahoma" w:eastAsia="MS PGothic" w:hAnsi="Tahoma" w:cs="Tahoma"/>
          <w:kern w:val="0"/>
          <w14:ligatures w14:val="none"/>
        </w:rPr>
        <w:t>s</w:t>
      </w:r>
      <w:r w:rsidR="00091589" w:rsidRPr="006C5784">
        <w:rPr>
          <w:rFonts w:ascii="Tahoma" w:eastAsia="MS PGothic" w:hAnsi="Tahoma" w:cs="Tahoma"/>
          <w:kern w:val="0"/>
          <w14:ligatures w14:val="none"/>
        </w:rPr>
        <w:t xml:space="preserve">, </w:t>
      </w:r>
      <w:r w:rsidR="00642D18" w:rsidRPr="006C5784">
        <w:rPr>
          <w:rFonts w:ascii="Tahoma" w:eastAsia="MS PGothic" w:hAnsi="Tahoma" w:cs="Tahoma"/>
          <w:kern w:val="0"/>
          <w14:ligatures w14:val="none"/>
        </w:rPr>
        <w:t>where prosecutors and</w:t>
      </w:r>
      <w:r w:rsidR="00091589" w:rsidRPr="006C5784">
        <w:rPr>
          <w:rFonts w:ascii="Tahoma" w:eastAsia="MS PGothic" w:hAnsi="Tahoma" w:cs="Tahoma"/>
          <w:kern w:val="0"/>
          <w14:ligatures w14:val="none"/>
        </w:rPr>
        <w:t xml:space="preserve"> victim </w:t>
      </w:r>
      <w:r w:rsidR="00DB32F0" w:rsidRPr="006C5784">
        <w:rPr>
          <w:rFonts w:ascii="Tahoma" w:eastAsia="MS PGothic" w:hAnsi="Tahoma" w:cs="Tahoma"/>
          <w:kern w:val="0"/>
          <w14:ligatures w14:val="none"/>
        </w:rPr>
        <w:t>advocates</w:t>
      </w:r>
      <w:r w:rsidR="00642D18" w:rsidRPr="006C5784">
        <w:rPr>
          <w:rFonts w:ascii="Tahoma" w:eastAsia="MS PGothic" w:hAnsi="Tahoma" w:cs="Tahoma"/>
          <w:kern w:val="0"/>
          <w14:ligatures w14:val="none"/>
        </w:rPr>
        <w:t xml:space="preserve"> work together</w:t>
      </w:r>
      <w:r w:rsidR="00091589" w:rsidRPr="006C5784">
        <w:rPr>
          <w:rFonts w:ascii="Tahoma" w:eastAsia="MS PGothic" w:hAnsi="Tahoma" w:cs="Tahoma"/>
          <w:kern w:val="0"/>
          <w14:ligatures w14:val="none"/>
        </w:rPr>
        <w:t xml:space="preserve"> to do so, </w:t>
      </w:r>
      <w:r w:rsidR="00214C4B" w:rsidRPr="006C5784">
        <w:rPr>
          <w:rFonts w:ascii="Tahoma" w:eastAsia="MS PGothic" w:hAnsi="Tahoma" w:cs="Tahoma"/>
          <w:kern w:val="0"/>
          <w14:ligatures w14:val="none"/>
        </w:rPr>
        <w:t xml:space="preserve">may </w:t>
      </w:r>
      <w:r w:rsidR="00091589" w:rsidRPr="006C5784">
        <w:rPr>
          <w:rFonts w:ascii="Tahoma" w:eastAsia="MS PGothic" w:hAnsi="Tahoma" w:cs="Tahoma"/>
          <w:kern w:val="0"/>
          <w14:ligatures w14:val="none"/>
        </w:rPr>
        <w:t>increase the likelihood that victim</w:t>
      </w:r>
      <w:r w:rsidR="00BB16E4" w:rsidRPr="006C5784">
        <w:rPr>
          <w:rFonts w:ascii="Tahoma" w:eastAsia="MS PGothic" w:hAnsi="Tahoma" w:cs="Tahoma"/>
          <w:kern w:val="0"/>
          <w14:ligatures w14:val="none"/>
        </w:rPr>
        <w:t>s</w:t>
      </w:r>
      <w:r w:rsidR="00091589" w:rsidRPr="006C5784">
        <w:rPr>
          <w:rFonts w:ascii="Tahoma" w:eastAsia="MS PGothic" w:hAnsi="Tahoma" w:cs="Tahoma"/>
          <w:kern w:val="0"/>
          <w14:ligatures w14:val="none"/>
        </w:rPr>
        <w:t xml:space="preserve"> will</w:t>
      </w:r>
      <w:r w:rsidR="00F82AFD" w:rsidRPr="006C5784">
        <w:rPr>
          <w:rFonts w:ascii="Tahoma" w:eastAsia="MS PGothic" w:hAnsi="Tahoma" w:cs="Tahoma"/>
          <w:kern w:val="0"/>
          <w14:ligatures w14:val="none"/>
        </w:rPr>
        <w:t xml:space="preserve"> </w:t>
      </w:r>
      <w:r w:rsidR="00091589" w:rsidRPr="006C5784">
        <w:rPr>
          <w:rFonts w:ascii="Tahoma" w:eastAsia="MS PGothic" w:hAnsi="Tahoma" w:cs="Tahoma"/>
          <w:kern w:val="0"/>
          <w14:ligatures w14:val="none"/>
        </w:rPr>
        <w:t>testify a</w:t>
      </w:r>
      <w:r w:rsidR="00DB32F0" w:rsidRPr="006C5784">
        <w:rPr>
          <w:rFonts w:ascii="Tahoma" w:eastAsia="MS PGothic" w:hAnsi="Tahoma" w:cs="Tahoma"/>
          <w:kern w:val="0"/>
          <w14:ligatures w14:val="none"/>
        </w:rPr>
        <w:t>t trial.</w:t>
      </w:r>
    </w:p>
    <w:p w14:paraId="4ED328E8" w14:textId="77777777" w:rsidR="003F29BA" w:rsidRPr="006C5784" w:rsidRDefault="003F29BA" w:rsidP="003F29BA">
      <w:pPr>
        <w:pStyle w:val="ListParagraph"/>
        <w:rPr>
          <w:rFonts w:ascii="Tahoma" w:eastAsia="MS PGothic" w:hAnsi="Tahoma" w:cs="Tahoma"/>
          <w:kern w:val="0"/>
          <w:u w:val="single"/>
          <w14:ligatures w14:val="none"/>
        </w:rPr>
      </w:pPr>
    </w:p>
    <w:p w14:paraId="704E6F03" w14:textId="04CFEF6C" w:rsidR="00AE5E47" w:rsidRPr="006C5784" w:rsidRDefault="00751E58" w:rsidP="004B2CD6">
      <w:pPr>
        <w:pStyle w:val="ListParagraph"/>
        <w:numPr>
          <w:ilvl w:val="0"/>
          <w:numId w:val="3"/>
        </w:numPr>
        <w:tabs>
          <w:tab w:val="left" w:pos="0"/>
        </w:tabs>
        <w:spacing w:after="0" w:line="240" w:lineRule="auto"/>
        <w:rPr>
          <w:rFonts w:ascii="Tahoma" w:eastAsia="MS PGothic" w:hAnsi="Tahoma" w:cs="Tahoma"/>
          <w:kern w:val="0"/>
          <w14:ligatures w14:val="none"/>
        </w:rPr>
      </w:pPr>
      <w:r w:rsidRPr="006C5784">
        <w:rPr>
          <w:rFonts w:ascii="Tahoma" w:eastAsia="MS PGothic" w:hAnsi="Tahoma" w:cs="Tahoma"/>
          <w:i/>
          <w:iCs/>
          <w:kern w:val="0"/>
          <w14:ligatures w14:val="none"/>
        </w:rPr>
        <w:t>Explain Subpoenas</w:t>
      </w:r>
      <w:r w:rsidR="00BB16E4" w:rsidRPr="006C5784">
        <w:rPr>
          <w:rFonts w:ascii="Tahoma" w:eastAsia="MS PGothic" w:hAnsi="Tahoma" w:cs="Tahoma"/>
          <w:i/>
          <w:iCs/>
          <w:kern w:val="0"/>
          <w14:ligatures w14:val="none"/>
        </w:rPr>
        <w:t>:</w:t>
      </w:r>
      <w:r w:rsidR="00BB16E4" w:rsidRPr="006C5784">
        <w:rPr>
          <w:rFonts w:ascii="Tahoma" w:eastAsia="MS PGothic" w:hAnsi="Tahoma" w:cs="Tahoma"/>
          <w:kern w:val="0"/>
          <w14:ligatures w14:val="none"/>
        </w:rPr>
        <w:t xml:space="preserve"> </w:t>
      </w:r>
      <w:r w:rsidR="00AE5E47" w:rsidRPr="006C5784">
        <w:rPr>
          <w:rFonts w:ascii="Tahoma" w:eastAsia="MS PGothic" w:hAnsi="Tahoma" w:cs="Tahoma"/>
          <w:kern w:val="0"/>
          <w14:ligatures w14:val="none"/>
        </w:rPr>
        <w:t>All witnesses, including victims, receive subpoenas for trial as a matter of course.</w:t>
      </w:r>
      <w:r w:rsidR="00251E87" w:rsidRPr="006C5784">
        <w:rPr>
          <w:rFonts w:ascii="Tahoma" w:eastAsia="MS PGothic" w:hAnsi="Tahoma" w:cs="Tahoma"/>
          <w:kern w:val="0"/>
          <w14:ligatures w14:val="none"/>
        </w:rPr>
        <w:t xml:space="preserve"> </w:t>
      </w:r>
      <w:r w:rsidR="00AE5E47" w:rsidRPr="006C5784">
        <w:rPr>
          <w:rFonts w:ascii="Tahoma" w:eastAsia="MS PGothic" w:hAnsi="Tahoma" w:cs="Tahoma"/>
          <w:kern w:val="0"/>
          <w14:ligatures w14:val="none"/>
        </w:rPr>
        <w:t xml:space="preserve">Prosecutors should explain to victims that trial subpoenas are court orders that </w:t>
      </w:r>
      <w:r w:rsidR="00707544" w:rsidRPr="006C5784">
        <w:rPr>
          <w:rFonts w:ascii="Tahoma" w:eastAsia="MS PGothic" w:hAnsi="Tahoma" w:cs="Tahoma"/>
          <w:kern w:val="0"/>
          <w14:ligatures w14:val="none"/>
        </w:rPr>
        <w:t>require</w:t>
      </w:r>
      <w:r w:rsidR="00AE5E47" w:rsidRPr="006C5784">
        <w:rPr>
          <w:rFonts w:ascii="Tahoma" w:eastAsia="MS PGothic" w:hAnsi="Tahoma" w:cs="Tahoma"/>
          <w:kern w:val="0"/>
          <w14:ligatures w14:val="none"/>
        </w:rPr>
        <w:t xml:space="preserve"> them to testify truthfully. </w:t>
      </w:r>
      <w:r w:rsidR="0028154B" w:rsidRPr="006C5784">
        <w:rPr>
          <w:rFonts w:ascii="Tahoma" w:eastAsia="MS PGothic" w:hAnsi="Tahoma" w:cs="Tahoma"/>
          <w:kern w:val="0"/>
          <w14:ligatures w14:val="none"/>
        </w:rPr>
        <w:t>Subpoenas allow p</w:t>
      </w:r>
      <w:r w:rsidR="00AE5E47" w:rsidRPr="006C5784">
        <w:rPr>
          <w:rFonts w:ascii="Tahoma" w:eastAsia="MS PGothic" w:hAnsi="Tahoma" w:cs="Tahoma"/>
          <w:kern w:val="0"/>
          <w14:ligatures w14:val="none"/>
        </w:rPr>
        <w:t>rosecutor</w:t>
      </w:r>
      <w:r w:rsidR="00143BB4" w:rsidRPr="006C5784">
        <w:rPr>
          <w:rFonts w:ascii="Tahoma" w:eastAsia="MS PGothic" w:hAnsi="Tahoma" w:cs="Tahoma"/>
          <w:kern w:val="0"/>
          <w14:ligatures w14:val="none"/>
        </w:rPr>
        <w:t>s</w:t>
      </w:r>
      <w:r w:rsidR="0028154B" w:rsidRPr="006C5784">
        <w:rPr>
          <w:rFonts w:ascii="Tahoma" w:eastAsia="MS PGothic" w:hAnsi="Tahoma" w:cs="Tahoma"/>
          <w:kern w:val="0"/>
          <w14:ligatures w14:val="none"/>
        </w:rPr>
        <w:t xml:space="preserve"> to </w:t>
      </w:r>
      <w:r w:rsidR="00AE5E47" w:rsidRPr="006C5784">
        <w:rPr>
          <w:rFonts w:ascii="Tahoma" w:eastAsia="MS PGothic" w:hAnsi="Tahoma" w:cs="Tahoma"/>
          <w:kern w:val="0"/>
          <w14:ligatures w14:val="none"/>
        </w:rPr>
        <w:t>make clear during the</w:t>
      </w:r>
      <w:r w:rsidR="0028154B" w:rsidRPr="006C5784">
        <w:rPr>
          <w:rFonts w:ascii="Tahoma" w:eastAsia="MS PGothic" w:hAnsi="Tahoma" w:cs="Tahoma"/>
          <w:kern w:val="0"/>
          <w14:ligatures w14:val="none"/>
        </w:rPr>
        <w:t xml:space="preserve"> victim’s</w:t>
      </w:r>
      <w:r w:rsidR="00AE5E47" w:rsidRPr="006C5784">
        <w:rPr>
          <w:rFonts w:ascii="Tahoma" w:eastAsia="MS PGothic" w:hAnsi="Tahoma" w:cs="Tahoma"/>
          <w:kern w:val="0"/>
          <w14:ligatures w14:val="none"/>
        </w:rPr>
        <w:t xml:space="preserve"> testimony that the victim is not testifying voluntarily</w:t>
      </w:r>
      <w:r w:rsidR="004B2CD6" w:rsidRPr="006C5784">
        <w:rPr>
          <w:rFonts w:ascii="Tahoma" w:eastAsia="MS PGothic" w:hAnsi="Tahoma" w:cs="Tahoma"/>
          <w:kern w:val="0"/>
          <w14:ligatures w14:val="none"/>
        </w:rPr>
        <w:t xml:space="preserve"> </w:t>
      </w:r>
      <w:r w:rsidR="00AE5E47" w:rsidRPr="006C5784">
        <w:rPr>
          <w:rFonts w:ascii="Tahoma" w:eastAsia="MS PGothic" w:hAnsi="Tahoma" w:cs="Tahoma"/>
          <w:kern w:val="0"/>
          <w14:ligatures w14:val="none"/>
        </w:rPr>
        <w:t xml:space="preserve">but </w:t>
      </w:r>
      <w:r w:rsidR="004B2CD6" w:rsidRPr="006C5784">
        <w:rPr>
          <w:rFonts w:ascii="Tahoma" w:eastAsia="MS PGothic" w:hAnsi="Tahoma" w:cs="Tahoma"/>
          <w:kern w:val="0"/>
          <w14:ligatures w14:val="none"/>
        </w:rPr>
        <w:t>they</w:t>
      </w:r>
      <w:r w:rsidR="00AE5E47" w:rsidRPr="006C5784">
        <w:rPr>
          <w:rFonts w:ascii="Tahoma" w:eastAsia="MS PGothic" w:hAnsi="Tahoma" w:cs="Tahoma"/>
          <w:kern w:val="0"/>
          <w14:ligatures w14:val="none"/>
        </w:rPr>
        <w:t xml:space="preserve"> </w:t>
      </w:r>
      <w:r w:rsidR="00484AF1" w:rsidRPr="006C5784">
        <w:rPr>
          <w:rFonts w:ascii="Tahoma" w:eastAsia="MS PGothic" w:hAnsi="Tahoma" w:cs="Tahoma"/>
          <w:kern w:val="0"/>
          <w14:ligatures w14:val="none"/>
        </w:rPr>
        <w:t xml:space="preserve">are </w:t>
      </w:r>
      <w:r w:rsidR="00AE5E47" w:rsidRPr="006C5784">
        <w:rPr>
          <w:rFonts w:ascii="Tahoma" w:eastAsia="MS PGothic" w:hAnsi="Tahoma" w:cs="Tahoma"/>
          <w:kern w:val="0"/>
          <w14:ligatures w14:val="none"/>
        </w:rPr>
        <w:t>doing so because they</w:t>
      </w:r>
      <w:r w:rsidR="00224094" w:rsidRPr="006C5784">
        <w:rPr>
          <w:rFonts w:ascii="Tahoma" w:eastAsia="MS PGothic" w:hAnsi="Tahoma" w:cs="Tahoma"/>
          <w:kern w:val="0"/>
          <w14:ligatures w14:val="none"/>
        </w:rPr>
        <w:t xml:space="preserve"> have been ordered to testify.</w:t>
      </w:r>
      <w:r w:rsidR="00096928" w:rsidRPr="006C5784">
        <w:rPr>
          <w:rFonts w:ascii="Tahoma" w:eastAsia="MS PGothic" w:hAnsi="Tahoma" w:cs="Tahoma"/>
          <w:kern w:val="0"/>
          <w14:ligatures w14:val="none"/>
        </w:rPr>
        <w:t xml:space="preserve"> </w:t>
      </w:r>
      <w:r w:rsidR="00143BB4" w:rsidRPr="006C5784">
        <w:rPr>
          <w:rFonts w:ascii="Tahoma" w:eastAsia="MS PGothic" w:hAnsi="Tahoma" w:cs="Tahoma"/>
          <w:kern w:val="0"/>
          <w14:ligatures w14:val="none"/>
        </w:rPr>
        <w:t xml:space="preserve">For the purposes of establishing </w:t>
      </w:r>
      <w:r w:rsidR="00143BB4" w:rsidRPr="006C5784">
        <w:rPr>
          <w:rFonts w:ascii="Tahoma" w:eastAsia="MS PGothic" w:hAnsi="Tahoma" w:cs="Tahoma"/>
          <w:i/>
          <w:iCs/>
          <w:kern w:val="0"/>
          <w14:ligatures w14:val="none"/>
        </w:rPr>
        <w:t>forfeiture by wrongdoing</w:t>
      </w:r>
      <w:r w:rsidR="003E6989">
        <w:rPr>
          <w:rFonts w:ascii="Tahoma" w:eastAsia="MS PGothic" w:hAnsi="Tahoma" w:cs="Tahoma"/>
          <w:kern w:val="0"/>
          <w14:ligatures w14:val="none"/>
        </w:rPr>
        <w:t>,</w:t>
      </w:r>
      <w:r w:rsidR="003E6989" w:rsidRPr="003E6989">
        <w:rPr>
          <w:rFonts w:ascii="Tahoma" w:eastAsia="MS PGothic" w:hAnsi="Tahoma" w:cs="Tahoma"/>
          <w:kern w:val="0"/>
          <w14:ligatures w14:val="none"/>
        </w:rPr>
        <w:t xml:space="preserve"> as discussed in Section IV</w:t>
      </w:r>
      <w:r w:rsidR="003E6989">
        <w:rPr>
          <w:rFonts w:ascii="Tahoma" w:eastAsia="MS PGothic" w:hAnsi="Tahoma" w:cs="Tahoma"/>
          <w:kern w:val="0"/>
          <w14:ligatures w14:val="none"/>
        </w:rPr>
        <w:t>,</w:t>
      </w:r>
      <w:r w:rsidR="00CE548F" w:rsidRPr="003E6989">
        <w:rPr>
          <w:rFonts w:ascii="Tahoma" w:eastAsia="MS PGothic" w:hAnsi="Tahoma" w:cs="Tahoma"/>
          <w:kern w:val="0"/>
          <w14:ligatures w14:val="none"/>
        </w:rPr>
        <w:t xml:space="preserve"> </w:t>
      </w:r>
      <w:r w:rsidR="00C63620" w:rsidRPr="003E6989">
        <w:rPr>
          <w:rFonts w:ascii="Tahoma" w:eastAsia="MS PGothic" w:hAnsi="Tahoma" w:cs="Tahoma"/>
          <w:kern w:val="0"/>
          <w14:ligatures w14:val="none"/>
        </w:rPr>
        <w:t>should</w:t>
      </w:r>
      <w:r w:rsidR="00C63620" w:rsidRPr="006C5784">
        <w:rPr>
          <w:rFonts w:ascii="Tahoma" w:eastAsia="MS PGothic" w:hAnsi="Tahoma" w:cs="Tahoma"/>
          <w:kern w:val="0"/>
          <w14:ligatures w14:val="none"/>
        </w:rPr>
        <w:t xml:space="preserve"> </w:t>
      </w:r>
      <w:r w:rsidR="00CE548F" w:rsidRPr="006C5784">
        <w:rPr>
          <w:rFonts w:ascii="Tahoma" w:eastAsia="MS PGothic" w:hAnsi="Tahoma" w:cs="Tahoma"/>
          <w:kern w:val="0"/>
          <w14:ligatures w14:val="none"/>
        </w:rPr>
        <w:t>the defendant intentionally cause a victim’s unavailability</w:t>
      </w:r>
      <w:r w:rsidR="00143BB4" w:rsidRPr="006C5784">
        <w:rPr>
          <w:rFonts w:ascii="Tahoma" w:eastAsia="MS PGothic" w:hAnsi="Tahoma" w:cs="Tahoma"/>
          <w:kern w:val="0"/>
          <w14:ligatures w14:val="none"/>
        </w:rPr>
        <w:t>, s</w:t>
      </w:r>
      <w:r w:rsidR="00096928" w:rsidRPr="006C5784">
        <w:rPr>
          <w:rFonts w:ascii="Tahoma" w:eastAsia="MS PGothic" w:hAnsi="Tahoma" w:cs="Tahoma"/>
          <w:kern w:val="0"/>
          <w14:ligatures w14:val="none"/>
        </w:rPr>
        <w:t xml:space="preserve">ubpoenas </w:t>
      </w:r>
      <w:r w:rsidR="00C63620" w:rsidRPr="006C5784">
        <w:rPr>
          <w:rFonts w:ascii="Tahoma" w:eastAsia="MS PGothic" w:hAnsi="Tahoma" w:cs="Tahoma"/>
          <w:kern w:val="0"/>
          <w14:ligatures w14:val="none"/>
        </w:rPr>
        <w:t>a</w:t>
      </w:r>
      <w:r w:rsidR="00BB1023" w:rsidRPr="006C5784">
        <w:rPr>
          <w:rFonts w:ascii="Tahoma" w:eastAsia="MS PGothic" w:hAnsi="Tahoma" w:cs="Tahoma"/>
          <w:kern w:val="0"/>
          <w14:ligatures w14:val="none"/>
        </w:rPr>
        <w:t>llow</w:t>
      </w:r>
      <w:r w:rsidR="00CE548F" w:rsidRPr="006C5784">
        <w:rPr>
          <w:rFonts w:ascii="Tahoma" w:eastAsia="MS PGothic" w:hAnsi="Tahoma" w:cs="Tahoma"/>
          <w:kern w:val="0"/>
          <w14:ligatures w14:val="none"/>
        </w:rPr>
        <w:t xml:space="preserve"> prosecutors</w:t>
      </w:r>
      <w:r w:rsidR="00096928" w:rsidRPr="006C5784">
        <w:rPr>
          <w:rFonts w:ascii="Tahoma" w:eastAsia="MS PGothic" w:hAnsi="Tahoma" w:cs="Tahoma"/>
          <w:kern w:val="0"/>
          <w14:ligatures w14:val="none"/>
        </w:rPr>
        <w:t xml:space="preserve"> </w:t>
      </w:r>
      <w:r w:rsidR="00BB1023" w:rsidRPr="006C5784">
        <w:rPr>
          <w:rFonts w:ascii="Tahoma" w:eastAsia="MS PGothic" w:hAnsi="Tahoma" w:cs="Tahoma"/>
          <w:kern w:val="0"/>
          <w14:ligatures w14:val="none"/>
        </w:rPr>
        <w:t xml:space="preserve">to </w:t>
      </w:r>
      <w:r w:rsidR="00096928" w:rsidRPr="006C5784">
        <w:rPr>
          <w:rFonts w:ascii="Tahoma" w:eastAsia="MS PGothic" w:hAnsi="Tahoma" w:cs="Tahoma"/>
          <w:kern w:val="0"/>
          <w14:ligatures w14:val="none"/>
        </w:rPr>
        <w:t>demonstrate</w:t>
      </w:r>
      <w:r w:rsidR="00143BB4" w:rsidRPr="006C5784">
        <w:rPr>
          <w:rFonts w:ascii="Tahoma" w:eastAsia="MS PGothic" w:hAnsi="Tahoma" w:cs="Tahoma"/>
          <w:kern w:val="0"/>
          <w14:ligatures w14:val="none"/>
        </w:rPr>
        <w:t xml:space="preserve"> t</w:t>
      </w:r>
      <w:r w:rsidR="00CE548F" w:rsidRPr="006C5784">
        <w:rPr>
          <w:rFonts w:ascii="Tahoma" w:eastAsia="MS PGothic" w:hAnsi="Tahoma" w:cs="Tahoma"/>
          <w:kern w:val="0"/>
          <w14:ligatures w14:val="none"/>
        </w:rPr>
        <w:t>o the court that</w:t>
      </w:r>
      <w:r w:rsidR="00143BB4" w:rsidRPr="006C5784">
        <w:rPr>
          <w:rFonts w:ascii="Tahoma" w:eastAsia="MS PGothic" w:hAnsi="Tahoma" w:cs="Tahoma"/>
          <w:kern w:val="0"/>
          <w14:ligatures w14:val="none"/>
        </w:rPr>
        <w:t xml:space="preserve"> </w:t>
      </w:r>
      <w:r w:rsidR="00CE548F" w:rsidRPr="006C5784">
        <w:rPr>
          <w:rFonts w:ascii="Tahoma" w:eastAsia="MS PGothic" w:hAnsi="Tahoma" w:cs="Tahoma"/>
          <w:kern w:val="0"/>
          <w14:ligatures w14:val="none"/>
        </w:rPr>
        <w:t>they</w:t>
      </w:r>
      <w:r w:rsidR="00143BB4" w:rsidRPr="006C5784">
        <w:rPr>
          <w:rFonts w:ascii="Tahoma" w:eastAsia="MS PGothic" w:hAnsi="Tahoma" w:cs="Tahoma"/>
          <w:kern w:val="0"/>
          <w14:ligatures w14:val="none"/>
        </w:rPr>
        <w:t xml:space="preserve"> exercised</w:t>
      </w:r>
      <w:r w:rsidR="00096928" w:rsidRPr="006C5784">
        <w:rPr>
          <w:rFonts w:ascii="Tahoma" w:eastAsia="MS PGothic" w:hAnsi="Tahoma" w:cs="Tahoma"/>
          <w:kern w:val="0"/>
          <w14:ligatures w14:val="none"/>
        </w:rPr>
        <w:t xml:space="preserve"> due diligence in seeking to present</w:t>
      </w:r>
      <w:r w:rsidR="00CE548F" w:rsidRPr="006C5784">
        <w:rPr>
          <w:rFonts w:ascii="Tahoma" w:eastAsia="MS PGothic" w:hAnsi="Tahoma" w:cs="Tahoma"/>
          <w:kern w:val="0"/>
          <w14:ligatures w14:val="none"/>
        </w:rPr>
        <w:t xml:space="preserve"> the victim’s</w:t>
      </w:r>
      <w:r w:rsidR="00096928" w:rsidRPr="006C5784">
        <w:rPr>
          <w:rFonts w:ascii="Tahoma" w:eastAsia="MS PGothic" w:hAnsi="Tahoma" w:cs="Tahoma"/>
          <w:kern w:val="0"/>
          <w14:ligatures w14:val="none"/>
        </w:rPr>
        <w:t xml:space="preserve"> testimony</w:t>
      </w:r>
      <w:r w:rsidR="00143BB4" w:rsidRPr="006C5784">
        <w:rPr>
          <w:rFonts w:ascii="Tahoma" w:eastAsia="MS PGothic" w:hAnsi="Tahoma" w:cs="Tahoma"/>
          <w:kern w:val="0"/>
          <w14:ligatures w14:val="none"/>
        </w:rPr>
        <w:t>. In addition,</w:t>
      </w:r>
      <w:r w:rsidR="00096928" w:rsidRPr="006C5784">
        <w:rPr>
          <w:rFonts w:ascii="Tahoma" w:eastAsia="MS PGothic" w:hAnsi="Tahoma" w:cs="Tahoma"/>
          <w:kern w:val="0"/>
          <w14:ligatures w14:val="none"/>
        </w:rPr>
        <w:t xml:space="preserve"> </w:t>
      </w:r>
      <w:r w:rsidR="00143BB4" w:rsidRPr="006C5784">
        <w:rPr>
          <w:rFonts w:ascii="Tahoma" w:eastAsia="MS PGothic" w:hAnsi="Tahoma" w:cs="Tahoma"/>
          <w:kern w:val="0"/>
          <w14:ligatures w14:val="none"/>
        </w:rPr>
        <w:t>s</w:t>
      </w:r>
      <w:r w:rsidR="00C36613" w:rsidRPr="006C5784">
        <w:rPr>
          <w:rFonts w:ascii="Tahoma" w:eastAsia="MS PGothic" w:hAnsi="Tahoma" w:cs="Tahoma"/>
          <w:kern w:val="0"/>
          <w14:ligatures w14:val="none"/>
        </w:rPr>
        <w:t xml:space="preserve">ome victims may </w:t>
      </w:r>
      <w:r w:rsidR="00C36613" w:rsidRPr="006C5784">
        <w:rPr>
          <w:rFonts w:ascii="Tahoma" w:eastAsia="MS PGothic" w:hAnsi="Tahoma" w:cs="Tahoma"/>
          <w:kern w:val="0"/>
          <w14:ligatures w14:val="none"/>
        </w:rPr>
        <w:lastRenderedPageBreak/>
        <w:t xml:space="preserve">prefer to receive subpoenas because </w:t>
      </w:r>
      <w:r w:rsidR="00BB1023" w:rsidRPr="006C5784">
        <w:rPr>
          <w:rFonts w:ascii="Tahoma" w:eastAsia="MS PGothic" w:hAnsi="Tahoma" w:cs="Tahoma"/>
          <w:kern w:val="0"/>
          <w14:ligatures w14:val="none"/>
        </w:rPr>
        <w:t>they are</w:t>
      </w:r>
      <w:r w:rsidR="00C36613" w:rsidRPr="006C5784">
        <w:rPr>
          <w:rFonts w:ascii="Tahoma" w:eastAsia="MS PGothic" w:hAnsi="Tahoma" w:cs="Tahoma"/>
          <w:kern w:val="0"/>
          <w14:ligatures w14:val="none"/>
        </w:rPr>
        <w:t xml:space="preserve"> a tangible symbol that the filing of charges </w:t>
      </w:r>
      <w:r w:rsidR="00CE548F" w:rsidRPr="006C5784">
        <w:rPr>
          <w:rFonts w:ascii="Tahoma" w:eastAsia="MS PGothic" w:hAnsi="Tahoma" w:cs="Tahoma"/>
          <w:kern w:val="0"/>
          <w14:ligatures w14:val="none"/>
        </w:rPr>
        <w:t>wa</w:t>
      </w:r>
      <w:r w:rsidR="00C36613" w:rsidRPr="006C5784">
        <w:rPr>
          <w:rFonts w:ascii="Tahoma" w:eastAsia="MS PGothic" w:hAnsi="Tahoma" w:cs="Tahoma"/>
          <w:kern w:val="0"/>
          <w14:ligatures w14:val="none"/>
        </w:rPr>
        <w:t xml:space="preserve">s not </w:t>
      </w:r>
      <w:r w:rsidR="00CE548F" w:rsidRPr="006C5784">
        <w:rPr>
          <w:rFonts w:ascii="Tahoma" w:eastAsia="MS PGothic" w:hAnsi="Tahoma" w:cs="Tahoma"/>
          <w:kern w:val="0"/>
          <w14:ligatures w14:val="none"/>
        </w:rPr>
        <w:t>the</w:t>
      </w:r>
      <w:r w:rsidR="00C36613" w:rsidRPr="006C5784">
        <w:rPr>
          <w:rFonts w:ascii="Tahoma" w:eastAsia="MS PGothic" w:hAnsi="Tahoma" w:cs="Tahoma"/>
          <w:kern w:val="0"/>
          <w14:ligatures w14:val="none"/>
        </w:rPr>
        <w:t xml:space="preserve"> victim’s decision.</w:t>
      </w:r>
    </w:p>
    <w:p w14:paraId="2BF66827" w14:textId="5FDEBFFD" w:rsidR="00251E87" w:rsidRPr="006C5784" w:rsidRDefault="00251E87" w:rsidP="00251E87">
      <w:pPr>
        <w:tabs>
          <w:tab w:val="left" w:pos="0"/>
        </w:tabs>
        <w:spacing w:after="0" w:line="240" w:lineRule="auto"/>
        <w:rPr>
          <w:rFonts w:ascii="Tahoma" w:eastAsia="MS PGothic" w:hAnsi="Tahoma" w:cs="Tahoma"/>
          <w:kern w:val="0"/>
          <w:u w:val="single"/>
          <w14:ligatures w14:val="none"/>
        </w:rPr>
      </w:pPr>
    </w:p>
    <w:p w14:paraId="1FE5ABBF" w14:textId="1273AC5F" w:rsidR="00751E58" w:rsidRPr="006C5784" w:rsidRDefault="00751E58" w:rsidP="00751E58">
      <w:pPr>
        <w:pStyle w:val="ListParagraph"/>
        <w:numPr>
          <w:ilvl w:val="0"/>
          <w:numId w:val="4"/>
        </w:numPr>
        <w:tabs>
          <w:tab w:val="left" w:pos="0"/>
        </w:tabs>
        <w:spacing w:after="0" w:line="240" w:lineRule="auto"/>
        <w:rPr>
          <w:rFonts w:ascii="Tahoma" w:eastAsia="MS PGothic" w:hAnsi="Tahoma" w:cs="Tahoma"/>
          <w:kern w:val="0"/>
          <w:u w:val="single"/>
          <w14:ligatures w14:val="none"/>
        </w:rPr>
      </w:pPr>
      <w:r w:rsidRPr="006C5784">
        <w:rPr>
          <w:rFonts w:ascii="Tahoma" w:eastAsia="MS PGothic" w:hAnsi="Tahoma" w:cs="Tahoma"/>
          <w:kern w:val="0"/>
          <w:u w:val="single"/>
          <w14:ligatures w14:val="none"/>
        </w:rPr>
        <w:t>Proving Cases without Victim Participation at Trial</w:t>
      </w:r>
    </w:p>
    <w:p w14:paraId="3B8B5FCA" w14:textId="77777777" w:rsidR="00251E87" w:rsidRPr="006C5784" w:rsidRDefault="00251E87" w:rsidP="00251E87">
      <w:pPr>
        <w:tabs>
          <w:tab w:val="left" w:pos="0"/>
        </w:tabs>
        <w:spacing w:after="0" w:line="240" w:lineRule="auto"/>
        <w:rPr>
          <w:rFonts w:ascii="Tahoma" w:eastAsia="MS PGothic" w:hAnsi="Tahoma" w:cs="Tahoma"/>
          <w:kern w:val="0"/>
          <w:u w:val="single"/>
          <w14:ligatures w14:val="none"/>
        </w:rPr>
      </w:pPr>
    </w:p>
    <w:p w14:paraId="71180C95" w14:textId="35ED42CF" w:rsidR="00251E87" w:rsidRPr="006C5784" w:rsidRDefault="0028154B" w:rsidP="00BF7FEC">
      <w:pPr>
        <w:pStyle w:val="ListParagraph"/>
        <w:numPr>
          <w:ilvl w:val="0"/>
          <w:numId w:val="6"/>
        </w:numPr>
        <w:tabs>
          <w:tab w:val="left" w:pos="0"/>
        </w:tabs>
        <w:spacing w:after="0" w:line="240" w:lineRule="auto"/>
        <w:rPr>
          <w:rFonts w:ascii="Tahoma" w:eastAsia="MS PGothic" w:hAnsi="Tahoma" w:cs="Tahoma"/>
          <w:kern w:val="0"/>
          <w:u w:val="single"/>
          <w14:ligatures w14:val="none"/>
        </w:rPr>
      </w:pPr>
      <w:r w:rsidRPr="006C5784">
        <w:rPr>
          <w:rFonts w:ascii="Tahoma" w:eastAsia="MS PGothic" w:hAnsi="Tahoma" w:cs="Tahoma"/>
          <w:kern w:val="0"/>
          <w14:ligatures w14:val="none"/>
        </w:rPr>
        <w:t xml:space="preserve">Most </w:t>
      </w:r>
      <w:r w:rsidR="00E11B38" w:rsidRPr="006C5784">
        <w:rPr>
          <w:rFonts w:ascii="Tahoma" w:eastAsia="MS PGothic" w:hAnsi="Tahoma" w:cs="Tahoma"/>
          <w:kern w:val="0"/>
          <w14:ligatures w14:val="none"/>
        </w:rPr>
        <w:t>of these cases</w:t>
      </w:r>
      <w:r w:rsidR="00A05880" w:rsidRPr="006C5784">
        <w:rPr>
          <w:rFonts w:ascii="Tahoma" w:eastAsia="MS PGothic" w:hAnsi="Tahoma" w:cs="Tahoma"/>
          <w:kern w:val="0"/>
          <w14:ligatures w14:val="none"/>
        </w:rPr>
        <w:t xml:space="preserve"> </w:t>
      </w:r>
      <w:r w:rsidRPr="006C5784">
        <w:rPr>
          <w:rFonts w:ascii="Tahoma" w:eastAsia="MS PGothic" w:hAnsi="Tahoma" w:cs="Tahoma"/>
          <w:kern w:val="0"/>
          <w14:ligatures w14:val="none"/>
        </w:rPr>
        <w:t xml:space="preserve">require victim testimony at trial to withstand a motion for judgment of acquittal. However, there are times </w:t>
      </w:r>
      <w:r w:rsidR="006B4F56">
        <w:rPr>
          <w:rFonts w:ascii="Tahoma" w:eastAsia="MS PGothic" w:hAnsi="Tahoma" w:cs="Tahoma"/>
          <w:kern w:val="0"/>
          <w14:ligatures w14:val="none"/>
        </w:rPr>
        <w:t>where some cases</w:t>
      </w:r>
      <w:r w:rsidR="002F0BA9" w:rsidRPr="006C5784">
        <w:rPr>
          <w:rFonts w:ascii="Tahoma" w:eastAsia="MS PGothic" w:hAnsi="Tahoma" w:cs="Tahoma"/>
          <w:kern w:val="0"/>
          <w14:ligatures w14:val="none"/>
        </w:rPr>
        <w:t xml:space="preserve">, </w:t>
      </w:r>
      <w:r w:rsidR="00E07628" w:rsidRPr="006C5784">
        <w:rPr>
          <w:rFonts w:ascii="Tahoma" w:eastAsia="MS PGothic" w:hAnsi="Tahoma" w:cs="Tahoma"/>
          <w:kern w:val="0"/>
          <w14:ligatures w14:val="none"/>
        </w:rPr>
        <w:t>particularly</w:t>
      </w:r>
      <w:r w:rsidR="002F0BA9" w:rsidRPr="006C5784">
        <w:rPr>
          <w:rFonts w:ascii="Tahoma" w:eastAsia="MS PGothic" w:hAnsi="Tahoma" w:cs="Tahoma"/>
          <w:kern w:val="0"/>
          <w14:ligatures w14:val="none"/>
        </w:rPr>
        <w:t xml:space="preserve"> </w:t>
      </w:r>
      <w:r w:rsidRPr="006C5784">
        <w:rPr>
          <w:rFonts w:ascii="Tahoma" w:eastAsia="MS PGothic" w:hAnsi="Tahoma" w:cs="Tahoma"/>
          <w:kern w:val="0"/>
          <w14:ligatures w14:val="none"/>
        </w:rPr>
        <w:t xml:space="preserve">stalking cases and </w:t>
      </w:r>
      <w:r w:rsidR="0078641C" w:rsidRPr="006C5784">
        <w:rPr>
          <w:rFonts w:ascii="Tahoma" w:eastAsia="MS PGothic" w:hAnsi="Tahoma" w:cs="Tahoma"/>
          <w:kern w:val="0"/>
          <w14:ligatures w14:val="none"/>
        </w:rPr>
        <w:t xml:space="preserve">domestic </w:t>
      </w:r>
      <w:r w:rsidR="00E07628" w:rsidRPr="006C5784">
        <w:rPr>
          <w:rFonts w:ascii="Tahoma" w:eastAsia="MS PGothic" w:hAnsi="Tahoma" w:cs="Tahoma"/>
          <w:kern w:val="0"/>
          <w14:ligatures w14:val="none"/>
        </w:rPr>
        <w:t>violence cases involving</w:t>
      </w:r>
      <w:r w:rsidR="0078641C" w:rsidRPr="006C5784">
        <w:rPr>
          <w:rFonts w:ascii="Tahoma" w:eastAsia="MS PGothic" w:hAnsi="Tahoma" w:cs="Tahoma"/>
          <w:kern w:val="0"/>
          <w14:ligatures w14:val="none"/>
        </w:rPr>
        <w:t xml:space="preserve"> </w:t>
      </w:r>
      <w:r w:rsidR="009F6F93" w:rsidRPr="006C5784">
        <w:rPr>
          <w:rFonts w:ascii="Tahoma" w:eastAsia="MS PGothic" w:hAnsi="Tahoma" w:cs="Tahoma"/>
          <w:kern w:val="0"/>
          <w14:ligatures w14:val="none"/>
        </w:rPr>
        <w:t xml:space="preserve">physical </w:t>
      </w:r>
      <w:r w:rsidR="00E07628" w:rsidRPr="006C5784">
        <w:rPr>
          <w:rFonts w:ascii="Tahoma" w:eastAsia="MS PGothic" w:hAnsi="Tahoma" w:cs="Tahoma"/>
          <w:kern w:val="0"/>
          <w14:ligatures w14:val="none"/>
        </w:rPr>
        <w:t>assault,</w:t>
      </w:r>
      <w:r w:rsidRPr="006C5784">
        <w:rPr>
          <w:rFonts w:ascii="Tahoma" w:eastAsia="MS PGothic" w:hAnsi="Tahoma" w:cs="Tahoma"/>
          <w:kern w:val="0"/>
          <w14:ligatures w14:val="none"/>
        </w:rPr>
        <w:t xml:space="preserve"> ca</w:t>
      </w:r>
      <w:r w:rsidR="00372F46" w:rsidRPr="006C5784">
        <w:rPr>
          <w:rFonts w:ascii="Tahoma" w:eastAsia="MS PGothic" w:hAnsi="Tahoma" w:cs="Tahoma"/>
          <w:kern w:val="0"/>
          <w14:ligatures w14:val="none"/>
        </w:rPr>
        <w:t>n</w:t>
      </w:r>
      <w:r w:rsidRPr="006C5784">
        <w:rPr>
          <w:rFonts w:ascii="Tahoma" w:eastAsia="MS PGothic" w:hAnsi="Tahoma" w:cs="Tahoma"/>
          <w:kern w:val="0"/>
          <w14:ligatures w14:val="none"/>
        </w:rPr>
        <w:t xml:space="preserve"> be proven without victim testimony.</w:t>
      </w:r>
      <w:r w:rsidR="00BF7FEC" w:rsidRPr="006C5784">
        <w:rPr>
          <w:rFonts w:ascii="Tahoma" w:eastAsia="MS PGothic" w:hAnsi="Tahoma" w:cs="Tahoma"/>
          <w:kern w:val="0"/>
          <w14:ligatures w14:val="none"/>
        </w:rPr>
        <w:t xml:space="preserve"> </w:t>
      </w:r>
      <w:r w:rsidR="00251E87" w:rsidRPr="006C5784">
        <w:rPr>
          <w:rFonts w:ascii="Tahoma" w:eastAsia="MS PGothic" w:hAnsi="Tahoma" w:cs="Tahoma"/>
          <w:kern w:val="0"/>
          <w14:ligatures w14:val="none"/>
        </w:rPr>
        <w:t>Because of the dynamics at play in the</w:t>
      </w:r>
      <w:r w:rsidR="007E20EF" w:rsidRPr="006C5784">
        <w:rPr>
          <w:rFonts w:ascii="Tahoma" w:eastAsia="MS PGothic" w:hAnsi="Tahoma" w:cs="Tahoma"/>
          <w:kern w:val="0"/>
          <w14:ligatures w14:val="none"/>
        </w:rPr>
        <w:t>se</w:t>
      </w:r>
      <w:r w:rsidR="00251E87" w:rsidRPr="006C5784">
        <w:rPr>
          <w:rFonts w:ascii="Tahoma" w:eastAsia="MS PGothic" w:hAnsi="Tahoma" w:cs="Tahoma"/>
          <w:kern w:val="0"/>
          <w14:ligatures w14:val="none"/>
        </w:rPr>
        <w:t xml:space="preserve"> cases, particularly where the victim has an ongoing relationship with the defendant, prosecutors should prepare to prove their cases without</w:t>
      </w:r>
      <w:r w:rsidR="00AB1FBB" w:rsidRPr="006C5784">
        <w:rPr>
          <w:rFonts w:ascii="Tahoma" w:eastAsia="MS PGothic" w:hAnsi="Tahoma" w:cs="Tahoma"/>
          <w:kern w:val="0"/>
          <w14:ligatures w14:val="none"/>
        </w:rPr>
        <w:t xml:space="preserve"> victim testimony, even if the victim is communicative and </w:t>
      </w:r>
      <w:r w:rsidRPr="006C5784">
        <w:rPr>
          <w:rFonts w:ascii="Tahoma" w:eastAsia="MS PGothic" w:hAnsi="Tahoma" w:cs="Tahoma"/>
          <w:kern w:val="0"/>
          <w14:ligatures w14:val="none"/>
        </w:rPr>
        <w:t>participatory</w:t>
      </w:r>
      <w:r w:rsidR="00AB1FBB" w:rsidRPr="006C5784">
        <w:rPr>
          <w:rFonts w:ascii="Tahoma" w:eastAsia="MS PGothic" w:hAnsi="Tahoma" w:cs="Tahoma"/>
          <w:kern w:val="0"/>
          <w14:ligatures w14:val="none"/>
        </w:rPr>
        <w:t xml:space="preserve"> at the</w:t>
      </w:r>
      <w:r w:rsidRPr="006C5784">
        <w:rPr>
          <w:rFonts w:ascii="Tahoma" w:eastAsia="MS PGothic" w:hAnsi="Tahoma" w:cs="Tahoma"/>
          <w:kern w:val="0"/>
          <w14:ligatures w14:val="none"/>
        </w:rPr>
        <w:t xml:space="preserve"> inception of the case</w:t>
      </w:r>
      <w:r w:rsidR="00AB1FBB" w:rsidRPr="006C5784">
        <w:rPr>
          <w:rFonts w:ascii="Tahoma" w:eastAsia="MS PGothic" w:hAnsi="Tahoma" w:cs="Tahoma"/>
          <w:kern w:val="0"/>
          <w14:ligatures w14:val="none"/>
        </w:rPr>
        <w:t>.</w:t>
      </w:r>
    </w:p>
    <w:p w14:paraId="5CE8D045" w14:textId="77777777" w:rsidR="007E20EF" w:rsidRPr="006C5784" w:rsidRDefault="007E20EF" w:rsidP="007E20EF">
      <w:pPr>
        <w:pStyle w:val="ListParagraph"/>
        <w:rPr>
          <w:rFonts w:ascii="Tahoma" w:eastAsia="MS PGothic" w:hAnsi="Tahoma" w:cs="Tahoma"/>
          <w:kern w:val="0"/>
          <w:u w:val="single"/>
          <w14:ligatures w14:val="none"/>
        </w:rPr>
      </w:pPr>
    </w:p>
    <w:p w14:paraId="570B05C2" w14:textId="6A14D950" w:rsidR="007E20EF" w:rsidRPr="006C5784" w:rsidRDefault="007E20EF" w:rsidP="00251E87">
      <w:pPr>
        <w:pStyle w:val="ListParagraph"/>
        <w:numPr>
          <w:ilvl w:val="0"/>
          <w:numId w:val="6"/>
        </w:numPr>
        <w:tabs>
          <w:tab w:val="left" w:pos="0"/>
        </w:tabs>
        <w:spacing w:after="0" w:line="240" w:lineRule="auto"/>
        <w:rPr>
          <w:rFonts w:ascii="Tahoma" w:eastAsia="MS PGothic" w:hAnsi="Tahoma" w:cs="Tahoma"/>
          <w:kern w:val="0"/>
          <w:u w:val="single"/>
          <w14:ligatures w14:val="none"/>
        </w:rPr>
      </w:pPr>
      <w:r w:rsidRPr="006C5784">
        <w:rPr>
          <w:rFonts w:ascii="Tahoma" w:eastAsia="MS PGothic" w:hAnsi="Tahoma" w:cs="Tahoma"/>
          <w:i/>
          <w:iCs/>
          <w:kern w:val="0"/>
          <w14:ligatures w14:val="none"/>
        </w:rPr>
        <w:t xml:space="preserve">Forfeiture by Wrongdoing: </w:t>
      </w:r>
      <w:r w:rsidR="0025303A">
        <w:rPr>
          <w:rFonts w:ascii="Tahoma" w:eastAsia="MS PGothic" w:hAnsi="Tahoma" w:cs="Tahoma"/>
          <w:kern w:val="0"/>
          <w14:ligatures w14:val="none"/>
        </w:rPr>
        <w:t>P</w:t>
      </w:r>
      <w:r w:rsidR="000A1919" w:rsidRPr="006C5784">
        <w:rPr>
          <w:rFonts w:ascii="Tahoma" w:eastAsia="MS PGothic" w:hAnsi="Tahoma" w:cs="Tahoma"/>
          <w:kern w:val="0"/>
          <w14:ligatures w14:val="none"/>
        </w:rPr>
        <w:t>rosecutors should consider that a</w:t>
      </w:r>
      <w:r w:rsidR="000A7434" w:rsidRPr="006C5784">
        <w:rPr>
          <w:rFonts w:ascii="Tahoma" w:eastAsia="MS PGothic" w:hAnsi="Tahoma" w:cs="Tahoma"/>
          <w:kern w:val="0"/>
          <w14:ligatures w14:val="none"/>
        </w:rPr>
        <w:t xml:space="preserve"> victim’s </w:t>
      </w:r>
      <w:r w:rsidR="00096928" w:rsidRPr="006C5784">
        <w:rPr>
          <w:rFonts w:ascii="Tahoma" w:eastAsia="MS PGothic" w:hAnsi="Tahoma" w:cs="Tahoma"/>
          <w:kern w:val="0"/>
          <w14:ligatures w14:val="none"/>
        </w:rPr>
        <w:t xml:space="preserve">recantation, minimization, or </w:t>
      </w:r>
      <w:r w:rsidR="000A7434" w:rsidRPr="006C5784">
        <w:rPr>
          <w:rFonts w:ascii="Tahoma" w:eastAsia="MS PGothic" w:hAnsi="Tahoma" w:cs="Tahoma"/>
          <w:kern w:val="0"/>
          <w14:ligatures w14:val="none"/>
        </w:rPr>
        <w:t xml:space="preserve">refusal to </w:t>
      </w:r>
      <w:r w:rsidR="00191A86" w:rsidRPr="006C5784">
        <w:rPr>
          <w:rFonts w:ascii="Tahoma" w:eastAsia="MS PGothic" w:hAnsi="Tahoma" w:cs="Tahoma"/>
          <w:kern w:val="0"/>
          <w14:ligatures w14:val="none"/>
        </w:rPr>
        <w:t xml:space="preserve">testify </w:t>
      </w:r>
      <w:r w:rsidR="00143BB4" w:rsidRPr="006C5784">
        <w:rPr>
          <w:rFonts w:ascii="Tahoma" w:eastAsia="MS PGothic" w:hAnsi="Tahoma" w:cs="Tahoma"/>
          <w:kern w:val="0"/>
          <w14:ligatures w14:val="none"/>
        </w:rPr>
        <w:t>commonly</w:t>
      </w:r>
      <w:r w:rsidR="00191A86" w:rsidRPr="006C5784">
        <w:rPr>
          <w:rFonts w:ascii="Tahoma" w:eastAsia="MS PGothic" w:hAnsi="Tahoma" w:cs="Tahoma"/>
          <w:kern w:val="0"/>
          <w14:ligatures w14:val="none"/>
        </w:rPr>
        <w:t xml:space="preserve"> result </w:t>
      </w:r>
      <w:r w:rsidR="00CE548F" w:rsidRPr="006C5784">
        <w:rPr>
          <w:rFonts w:ascii="Tahoma" w:eastAsia="MS PGothic" w:hAnsi="Tahoma" w:cs="Tahoma"/>
          <w:kern w:val="0"/>
          <w14:ligatures w14:val="none"/>
        </w:rPr>
        <w:t xml:space="preserve">from </w:t>
      </w:r>
      <w:r w:rsidR="00191A86" w:rsidRPr="006C5784">
        <w:rPr>
          <w:rFonts w:ascii="Tahoma" w:eastAsia="MS PGothic" w:hAnsi="Tahoma" w:cs="Tahoma"/>
          <w:kern w:val="0"/>
          <w14:ligatures w14:val="none"/>
        </w:rPr>
        <w:t xml:space="preserve">the defendant’s </w:t>
      </w:r>
      <w:r w:rsidR="00140510" w:rsidRPr="006C5784">
        <w:rPr>
          <w:rFonts w:ascii="Tahoma" w:eastAsia="MS PGothic" w:hAnsi="Tahoma" w:cs="Tahoma"/>
          <w:kern w:val="0"/>
          <w14:ligatures w14:val="none"/>
        </w:rPr>
        <w:t xml:space="preserve">ongoing </w:t>
      </w:r>
      <w:r w:rsidR="00BF7FEC" w:rsidRPr="006C5784">
        <w:rPr>
          <w:rFonts w:ascii="Tahoma" w:eastAsia="MS PGothic" w:hAnsi="Tahoma" w:cs="Tahoma"/>
          <w:kern w:val="0"/>
          <w14:ligatures w14:val="none"/>
        </w:rPr>
        <w:t>mis</w:t>
      </w:r>
      <w:r w:rsidR="00191A86" w:rsidRPr="006C5784">
        <w:rPr>
          <w:rFonts w:ascii="Tahoma" w:eastAsia="MS PGothic" w:hAnsi="Tahoma" w:cs="Tahoma"/>
          <w:kern w:val="0"/>
          <w14:ligatures w14:val="none"/>
        </w:rPr>
        <w:t xml:space="preserve">conduct. </w:t>
      </w:r>
      <w:r w:rsidR="00DA7C67" w:rsidRPr="006C5784">
        <w:rPr>
          <w:rFonts w:ascii="Tahoma" w:eastAsia="MS PGothic" w:hAnsi="Tahoma" w:cs="Tahoma"/>
          <w:kern w:val="0"/>
          <w14:ligatures w14:val="none"/>
        </w:rPr>
        <w:t>When there is evidence</w:t>
      </w:r>
      <w:r w:rsidR="000A1919" w:rsidRPr="006C5784">
        <w:rPr>
          <w:rFonts w:ascii="Tahoma" w:eastAsia="MS PGothic" w:hAnsi="Tahoma" w:cs="Tahoma"/>
          <w:kern w:val="0"/>
          <w14:ligatures w14:val="none"/>
        </w:rPr>
        <w:t xml:space="preserve"> that the defendant </w:t>
      </w:r>
      <w:r w:rsidR="00BA136C" w:rsidRPr="006C5784">
        <w:rPr>
          <w:rFonts w:ascii="Tahoma" w:eastAsia="MS PGothic" w:hAnsi="Tahoma" w:cs="Tahoma"/>
          <w:kern w:val="0"/>
          <w14:ligatures w14:val="none"/>
        </w:rPr>
        <w:t xml:space="preserve">intentionally </w:t>
      </w:r>
      <w:r w:rsidR="000A1919" w:rsidRPr="006C5784">
        <w:rPr>
          <w:rFonts w:ascii="Tahoma" w:eastAsia="MS PGothic" w:hAnsi="Tahoma" w:cs="Tahoma"/>
          <w:kern w:val="0"/>
          <w14:ligatures w14:val="none"/>
        </w:rPr>
        <w:t xml:space="preserve">caused the victim’s unavailability, </w:t>
      </w:r>
      <w:r w:rsidR="007E3392" w:rsidRPr="006C5784">
        <w:rPr>
          <w:rFonts w:ascii="Tahoma" w:eastAsia="MS PGothic" w:hAnsi="Tahoma" w:cs="Tahoma"/>
          <w:kern w:val="0"/>
          <w14:ligatures w14:val="none"/>
        </w:rPr>
        <w:t>prosecutors should move to admit</w:t>
      </w:r>
      <w:r w:rsidR="000A1919" w:rsidRPr="006C5784">
        <w:rPr>
          <w:rFonts w:ascii="Tahoma" w:eastAsia="MS PGothic" w:hAnsi="Tahoma" w:cs="Tahoma"/>
          <w:kern w:val="0"/>
          <w14:ligatures w14:val="none"/>
        </w:rPr>
        <w:t xml:space="preserve"> the victim’s hearsay statements under the doctrine of forfeiture by wrongdoing</w:t>
      </w:r>
      <w:r w:rsidR="007E3392" w:rsidRPr="006C5784">
        <w:rPr>
          <w:rFonts w:ascii="Tahoma" w:eastAsia="MS PGothic" w:hAnsi="Tahoma" w:cs="Tahoma"/>
          <w:kern w:val="0"/>
          <w14:ligatures w14:val="none"/>
        </w:rPr>
        <w:t>, ob</w:t>
      </w:r>
      <w:r w:rsidR="009365D0" w:rsidRPr="006C5784">
        <w:rPr>
          <w:rFonts w:ascii="Tahoma" w:eastAsia="MS PGothic" w:hAnsi="Tahoma" w:cs="Tahoma"/>
          <w:kern w:val="0"/>
          <w14:ligatures w14:val="none"/>
        </w:rPr>
        <w:t>viating the nee</w:t>
      </w:r>
      <w:r w:rsidR="007E38E7" w:rsidRPr="006C5784">
        <w:rPr>
          <w:rFonts w:ascii="Tahoma" w:eastAsia="MS PGothic" w:hAnsi="Tahoma" w:cs="Tahoma"/>
          <w:kern w:val="0"/>
          <w14:ligatures w14:val="none"/>
        </w:rPr>
        <w:t>d for victim testimony at trial</w:t>
      </w:r>
      <w:r w:rsidR="00370616">
        <w:rPr>
          <w:rFonts w:ascii="Tahoma" w:eastAsia="MS PGothic" w:hAnsi="Tahoma" w:cs="Tahoma"/>
          <w:kern w:val="0"/>
          <w14:ligatures w14:val="none"/>
        </w:rPr>
        <w:t xml:space="preserve">. </w:t>
      </w:r>
      <w:r w:rsidR="00370616" w:rsidRPr="00370616">
        <w:rPr>
          <w:rFonts w:ascii="Tahoma" w:eastAsia="MS PGothic" w:hAnsi="Tahoma" w:cs="Tahoma"/>
          <w:i/>
          <w:iCs/>
          <w:kern w:val="0"/>
          <w14:ligatures w14:val="none"/>
        </w:rPr>
        <w:t>See</w:t>
      </w:r>
      <w:r w:rsidR="00370616">
        <w:rPr>
          <w:rFonts w:ascii="Tahoma" w:eastAsia="MS PGothic" w:hAnsi="Tahoma" w:cs="Tahoma"/>
          <w:kern w:val="0"/>
          <w14:ligatures w14:val="none"/>
        </w:rPr>
        <w:t xml:space="preserve"> </w:t>
      </w:r>
      <w:r w:rsidR="0025303A" w:rsidRPr="0025303A">
        <w:rPr>
          <w:rFonts w:ascii="Tahoma" w:eastAsia="MS PGothic" w:hAnsi="Tahoma" w:cs="Tahoma"/>
          <w:kern w:val="0"/>
          <w14:ligatures w14:val="none"/>
        </w:rPr>
        <w:t>the DOJ Prosecutors’ Framework</w:t>
      </w:r>
      <w:r w:rsidR="00370616">
        <w:rPr>
          <w:rFonts w:ascii="Tahoma" w:eastAsia="MS PGothic" w:hAnsi="Tahoma" w:cs="Tahoma"/>
          <w:kern w:val="0"/>
          <w14:ligatures w14:val="none"/>
        </w:rPr>
        <w:t xml:space="preserve"> </w:t>
      </w:r>
      <w:r w:rsidR="0025303A" w:rsidRPr="0025303A">
        <w:rPr>
          <w:rFonts w:ascii="Tahoma" w:eastAsia="MS PGothic" w:hAnsi="Tahoma" w:cs="Tahoma"/>
          <w:kern w:val="0"/>
          <w14:ligatures w14:val="none"/>
        </w:rPr>
        <w:t>at page 21</w:t>
      </w:r>
      <w:r w:rsidR="00370616">
        <w:rPr>
          <w:rFonts w:ascii="Tahoma" w:eastAsia="MS PGothic" w:hAnsi="Tahoma" w:cs="Tahoma"/>
          <w:kern w:val="0"/>
          <w14:ligatures w14:val="none"/>
        </w:rPr>
        <w:t>.</w:t>
      </w:r>
    </w:p>
    <w:p w14:paraId="036D402C" w14:textId="77777777" w:rsidR="00AB1FBB" w:rsidRPr="006C5784" w:rsidRDefault="00AB1FBB" w:rsidP="00AB1FBB">
      <w:pPr>
        <w:pStyle w:val="ListParagraph"/>
        <w:tabs>
          <w:tab w:val="left" w:pos="0"/>
        </w:tabs>
        <w:spacing w:after="0" w:line="240" w:lineRule="auto"/>
        <w:ind w:left="360"/>
        <w:rPr>
          <w:rFonts w:ascii="Tahoma" w:eastAsia="MS PGothic" w:hAnsi="Tahoma" w:cs="Tahoma"/>
          <w:kern w:val="0"/>
          <w:u w:val="single"/>
          <w14:ligatures w14:val="none"/>
        </w:rPr>
      </w:pPr>
    </w:p>
    <w:p w14:paraId="42AA9FBD" w14:textId="2F2044FB" w:rsidR="00751E58" w:rsidRPr="006C5784" w:rsidRDefault="006C4BA1" w:rsidP="00751E58">
      <w:pPr>
        <w:pStyle w:val="ListParagraph"/>
        <w:numPr>
          <w:ilvl w:val="0"/>
          <w:numId w:val="4"/>
        </w:numPr>
        <w:tabs>
          <w:tab w:val="left" w:pos="0"/>
        </w:tabs>
        <w:spacing w:after="0" w:line="240" w:lineRule="auto"/>
        <w:rPr>
          <w:rFonts w:ascii="Tahoma" w:eastAsia="MS PGothic" w:hAnsi="Tahoma" w:cs="Tahoma"/>
          <w:kern w:val="0"/>
          <w:u w:val="single"/>
          <w14:ligatures w14:val="none"/>
        </w:rPr>
      </w:pPr>
      <w:r w:rsidRPr="006C5784">
        <w:rPr>
          <w:rFonts w:ascii="Tahoma" w:eastAsia="MS PGothic" w:hAnsi="Tahoma" w:cs="Tahoma"/>
          <w:kern w:val="0"/>
          <w:u w:val="single"/>
          <w14:ligatures w14:val="none"/>
        </w:rPr>
        <w:t>Deciding to Compel</w:t>
      </w:r>
      <w:r w:rsidR="00751E58" w:rsidRPr="006C5784">
        <w:rPr>
          <w:rFonts w:ascii="Tahoma" w:eastAsia="MS PGothic" w:hAnsi="Tahoma" w:cs="Tahoma"/>
          <w:kern w:val="0"/>
          <w:u w:val="single"/>
          <w14:ligatures w14:val="none"/>
        </w:rPr>
        <w:t xml:space="preserve"> Testimony via </w:t>
      </w:r>
      <w:r w:rsidR="00277370" w:rsidRPr="006C5784">
        <w:rPr>
          <w:rFonts w:ascii="Tahoma" w:eastAsia="MS PGothic" w:hAnsi="Tahoma" w:cs="Tahoma"/>
          <w:kern w:val="0"/>
          <w:u w:val="single"/>
          <w14:ligatures w14:val="none"/>
        </w:rPr>
        <w:t>Arrest of the Victim</w:t>
      </w:r>
    </w:p>
    <w:p w14:paraId="32138A88" w14:textId="77777777" w:rsidR="00277370" w:rsidRPr="006C5784" w:rsidRDefault="00277370" w:rsidP="00277370">
      <w:pPr>
        <w:pStyle w:val="ListParagraph"/>
        <w:tabs>
          <w:tab w:val="left" w:pos="0"/>
        </w:tabs>
        <w:spacing w:after="0" w:line="240" w:lineRule="auto"/>
        <w:rPr>
          <w:rFonts w:ascii="Tahoma" w:eastAsia="MS PGothic" w:hAnsi="Tahoma" w:cs="Tahoma"/>
          <w:kern w:val="0"/>
          <w:u w:val="single"/>
          <w14:ligatures w14:val="none"/>
        </w:rPr>
      </w:pPr>
    </w:p>
    <w:p w14:paraId="761A276F" w14:textId="6B4C58B2" w:rsidR="00E67744" w:rsidRPr="006C5784" w:rsidRDefault="00E67744" w:rsidP="00E67744">
      <w:pPr>
        <w:pStyle w:val="ListParagraph"/>
        <w:numPr>
          <w:ilvl w:val="0"/>
          <w:numId w:val="7"/>
        </w:numPr>
        <w:tabs>
          <w:tab w:val="left" w:pos="0"/>
        </w:tabs>
        <w:spacing w:after="0" w:line="240" w:lineRule="auto"/>
        <w:rPr>
          <w:rFonts w:ascii="Tahoma" w:eastAsia="MS PGothic" w:hAnsi="Tahoma" w:cs="Tahoma"/>
          <w:kern w:val="0"/>
          <w14:ligatures w14:val="none"/>
        </w:rPr>
      </w:pPr>
      <w:r w:rsidRPr="006C5784">
        <w:rPr>
          <w:rFonts w:ascii="Tahoma" w:eastAsia="MS PGothic" w:hAnsi="Tahoma" w:cs="Tahoma"/>
          <w:kern w:val="0"/>
          <w14:ligatures w14:val="none"/>
        </w:rPr>
        <w:t>There will be times when, despite a prosecutor’s best efforts consistent with the principles in the DOJ Prosecut</w:t>
      </w:r>
      <w:r w:rsidR="00CE4816" w:rsidRPr="006C5784">
        <w:rPr>
          <w:rFonts w:ascii="Tahoma" w:eastAsia="MS PGothic" w:hAnsi="Tahoma" w:cs="Tahoma"/>
          <w:kern w:val="0"/>
          <w14:ligatures w14:val="none"/>
        </w:rPr>
        <w:t>or</w:t>
      </w:r>
      <w:r w:rsidR="0004077C" w:rsidRPr="006C5784">
        <w:rPr>
          <w:rFonts w:ascii="Tahoma" w:eastAsia="MS PGothic" w:hAnsi="Tahoma" w:cs="Tahoma"/>
          <w:kern w:val="0"/>
          <w14:ligatures w14:val="none"/>
        </w:rPr>
        <w:t xml:space="preserve"> Framework</w:t>
      </w:r>
      <w:r w:rsidR="006D5300" w:rsidRPr="006C5784">
        <w:rPr>
          <w:rFonts w:ascii="Tahoma" w:eastAsia="MS PGothic" w:hAnsi="Tahoma" w:cs="Tahoma"/>
          <w:kern w:val="0"/>
          <w14:ligatures w14:val="none"/>
        </w:rPr>
        <w:t xml:space="preserve"> and the points in Section III above</w:t>
      </w:r>
      <w:r w:rsidRPr="006C5784">
        <w:rPr>
          <w:rFonts w:ascii="Tahoma" w:eastAsia="MS PGothic" w:hAnsi="Tahoma" w:cs="Tahoma"/>
          <w:kern w:val="0"/>
          <w14:ligatures w14:val="none"/>
        </w:rPr>
        <w:t xml:space="preserve">, a victim will refuse to participate in a prosecution. On balance, such a refusal should rarely be a last-minute surprise, but rather something prosecutors consider throughout the pendency of a case, when making charging decisions and plea offers, and when announcing whether the government is ready for trial. A prosecutor should not announce </w:t>
      </w:r>
      <w:r w:rsidR="00C36613" w:rsidRPr="006C5784">
        <w:rPr>
          <w:rFonts w:ascii="Tahoma" w:eastAsia="MS PGothic" w:hAnsi="Tahoma" w:cs="Tahoma"/>
          <w:kern w:val="0"/>
          <w14:ligatures w14:val="none"/>
        </w:rPr>
        <w:t>“</w:t>
      </w:r>
      <w:r w:rsidRPr="006C5784">
        <w:rPr>
          <w:rFonts w:ascii="Tahoma" w:eastAsia="MS PGothic" w:hAnsi="Tahoma" w:cs="Tahoma"/>
          <w:kern w:val="0"/>
          <w14:ligatures w14:val="none"/>
        </w:rPr>
        <w:t>ready for trial</w:t>
      </w:r>
      <w:r w:rsidR="00C36613" w:rsidRPr="006C5784">
        <w:rPr>
          <w:rFonts w:ascii="Tahoma" w:eastAsia="MS PGothic" w:hAnsi="Tahoma" w:cs="Tahoma"/>
          <w:kern w:val="0"/>
          <w14:ligatures w14:val="none"/>
        </w:rPr>
        <w:t>”</w:t>
      </w:r>
      <w:r w:rsidRPr="006C5784">
        <w:rPr>
          <w:rFonts w:ascii="Tahoma" w:eastAsia="MS PGothic" w:hAnsi="Tahoma" w:cs="Tahoma"/>
          <w:kern w:val="0"/>
          <w14:ligatures w14:val="none"/>
        </w:rPr>
        <w:t xml:space="preserve"> if a prosecutor knows that </w:t>
      </w:r>
      <w:r w:rsidR="003D4C65" w:rsidRPr="006C5784">
        <w:rPr>
          <w:rFonts w:ascii="Tahoma" w:eastAsia="MS PGothic" w:hAnsi="Tahoma" w:cs="Tahoma"/>
          <w:kern w:val="0"/>
          <w14:ligatures w14:val="none"/>
        </w:rPr>
        <w:t>the</w:t>
      </w:r>
      <w:r w:rsidRPr="006C5784">
        <w:rPr>
          <w:rFonts w:ascii="Tahoma" w:eastAsia="MS PGothic" w:hAnsi="Tahoma" w:cs="Tahoma"/>
          <w:kern w:val="0"/>
          <w14:ligatures w14:val="none"/>
        </w:rPr>
        <w:t xml:space="preserve"> victim will not appear to testify and that </w:t>
      </w:r>
      <w:r w:rsidR="00D15EAA" w:rsidRPr="006C5784">
        <w:rPr>
          <w:rFonts w:ascii="Tahoma" w:eastAsia="MS PGothic" w:hAnsi="Tahoma" w:cs="Tahoma"/>
          <w:kern w:val="0"/>
          <w14:ligatures w14:val="none"/>
        </w:rPr>
        <w:t>the case cannot be proven</w:t>
      </w:r>
      <w:r w:rsidRPr="006C5784">
        <w:rPr>
          <w:rFonts w:ascii="Tahoma" w:eastAsia="MS PGothic" w:hAnsi="Tahoma" w:cs="Tahoma"/>
          <w:kern w:val="0"/>
          <w14:ligatures w14:val="none"/>
        </w:rPr>
        <w:t xml:space="preserve"> without the victim’s testimony. </w:t>
      </w:r>
    </w:p>
    <w:p w14:paraId="6467D0D2" w14:textId="77777777" w:rsidR="00E67744" w:rsidRPr="006C5784" w:rsidRDefault="00E67744" w:rsidP="00D15EAA">
      <w:pPr>
        <w:pStyle w:val="ListParagraph"/>
        <w:tabs>
          <w:tab w:val="left" w:pos="0"/>
        </w:tabs>
        <w:spacing w:after="0" w:line="240" w:lineRule="auto"/>
        <w:ind w:left="360"/>
        <w:rPr>
          <w:rFonts w:ascii="Tahoma" w:eastAsia="MS PGothic" w:hAnsi="Tahoma" w:cs="Tahoma"/>
          <w:kern w:val="0"/>
          <w14:ligatures w14:val="none"/>
        </w:rPr>
      </w:pPr>
    </w:p>
    <w:p w14:paraId="7DC30019" w14:textId="203EEF2B" w:rsidR="00E67744" w:rsidRPr="006C5784" w:rsidRDefault="00E67744" w:rsidP="00E67744">
      <w:pPr>
        <w:pStyle w:val="ListParagraph"/>
        <w:numPr>
          <w:ilvl w:val="0"/>
          <w:numId w:val="7"/>
        </w:numPr>
        <w:tabs>
          <w:tab w:val="left" w:pos="0"/>
        </w:tabs>
        <w:spacing w:after="0" w:line="240" w:lineRule="auto"/>
        <w:rPr>
          <w:rFonts w:ascii="Tahoma" w:eastAsia="MS PGothic" w:hAnsi="Tahoma" w:cs="Tahoma"/>
          <w:kern w:val="0"/>
          <w14:ligatures w14:val="none"/>
        </w:rPr>
      </w:pPr>
      <w:r w:rsidRPr="006C5784">
        <w:rPr>
          <w:rFonts w:ascii="Tahoma" w:eastAsia="MS PGothic" w:hAnsi="Tahoma" w:cs="Tahoma"/>
          <w:kern w:val="0"/>
          <w14:ligatures w14:val="none"/>
        </w:rPr>
        <w:t xml:space="preserve">When a </w:t>
      </w:r>
      <w:proofErr w:type="gramStart"/>
      <w:r w:rsidRPr="006C5784">
        <w:rPr>
          <w:rFonts w:ascii="Tahoma" w:eastAsia="MS PGothic" w:hAnsi="Tahoma" w:cs="Tahoma"/>
          <w:kern w:val="0"/>
          <w14:ligatures w14:val="none"/>
        </w:rPr>
        <w:t>victim absolutely</w:t>
      </w:r>
      <w:proofErr w:type="gramEnd"/>
      <w:r w:rsidRPr="006C5784">
        <w:rPr>
          <w:rFonts w:ascii="Tahoma" w:eastAsia="MS PGothic" w:hAnsi="Tahoma" w:cs="Tahoma"/>
          <w:kern w:val="0"/>
          <w14:ligatures w14:val="none"/>
        </w:rPr>
        <w:t xml:space="preserve"> refuses to participate and the case cannot be resolved </w:t>
      </w:r>
      <w:r w:rsidR="00782D69" w:rsidRPr="006C5784">
        <w:rPr>
          <w:rFonts w:ascii="Tahoma" w:eastAsia="MS PGothic" w:hAnsi="Tahoma" w:cs="Tahoma"/>
          <w:kern w:val="0"/>
          <w14:ligatures w14:val="none"/>
        </w:rPr>
        <w:t>via guilty plea</w:t>
      </w:r>
      <w:r w:rsidRPr="006C5784">
        <w:rPr>
          <w:rFonts w:ascii="Tahoma" w:eastAsia="MS PGothic" w:hAnsi="Tahoma" w:cs="Tahoma"/>
          <w:kern w:val="0"/>
          <w14:ligatures w14:val="none"/>
        </w:rPr>
        <w:t xml:space="preserve"> or proven without the victim’s testimony at trial, prosecutors should move for a continuance </w:t>
      </w:r>
      <w:proofErr w:type="gramStart"/>
      <w:r w:rsidR="00AD6A0F" w:rsidRPr="006C5784">
        <w:rPr>
          <w:rFonts w:ascii="Tahoma" w:eastAsia="MS PGothic" w:hAnsi="Tahoma" w:cs="Tahoma"/>
          <w:kern w:val="0"/>
          <w14:ligatures w14:val="none"/>
        </w:rPr>
        <w:t>as long as</w:t>
      </w:r>
      <w:proofErr w:type="gramEnd"/>
      <w:r w:rsidR="00AD6A0F" w:rsidRPr="006C5784">
        <w:rPr>
          <w:rFonts w:ascii="Tahoma" w:eastAsia="MS PGothic" w:hAnsi="Tahoma" w:cs="Tahoma"/>
          <w:kern w:val="0"/>
          <w14:ligatures w14:val="none"/>
        </w:rPr>
        <w:t xml:space="preserve"> </w:t>
      </w:r>
      <w:r w:rsidR="00CE548F" w:rsidRPr="006C5784">
        <w:rPr>
          <w:rFonts w:ascii="Tahoma" w:eastAsia="MS PGothic" w:hAnsi="Tahoma" w:cs="Tahoma"/>
          <w:kern w:val="0"/>
          <w14:ligatures w14:val="none"/>
        </w:rPr>
        <w:t xml:space="preserve">they have </w:t>
      </w:r>
      <w:r w:rsidRPr="006C5784">
        <w:rPr>
          <w:rFonts w:ascii="Tahoma" w:eastAsia="MS PGothic" w:hAnsi="Tahoma" w:cs="Tahoma"/>
          <w:kern w:val="0"/>
          <w14:ligatures w14:val="none"/>
        </w:rPr>
        <w:t xml:space="preserve">a good faith belief that additional time will allow for meaningful engagement with the victim. Otherwise, in most cases, prosecutors should </w:t>
      </w:r>
      <w:r w:rsidR="00BA136C" w:rsidRPr="006C5784">
        <w:rPr>
          <w:rFonts w:ascii="Tahoma" w:eastAsia="MS PGothic" w:hAnsi="Tahoma" w:cs="Tahoma"/>
          <w:kern w:val="0"/>
          <w14:ligatures w14:val="none"/>
        </w:rPr>
        <w:t xml:space="preserve">move to </w:t>
      </w:r>
      <w:r w:rsidRPr="006C5784">
        <w:rPr>
          <w:rFonts w:ascii="Tahoma" w:eastAsia="MS PGothic" w:hAnsi="Tahoma" w:cs="Tahoma"/>
          <w:kern w:val="0"/>
          <w14:ligatures w14:val="none"/>
        </w:rPr>
        <w:t>dismiss</w:t>
      </w:r>
      <w:r w:rsidR="003B18D9" w:rsidRPr="006C5784">
        <w:rPr>
          <w:rFonts w:ascii="Tahoma" w:eastAsia="MS PGothic" w:hAnsi="Tahoma" w:cs="Tahoma"/>
          <w:kern w:val="0"/>
          <w14:ligatures w14:val="none"/>
        </w:rPr>
        <w:t xml:space="preserve"> </w:t>
      </w:r>
      <w:r w:rsidR="003E3CEA" w:rsidRPr="006C5784">
        <w:rPr>
          <w:rFonts w:ascii="Tahoma" w:eastAsia="MS PGothic" w:hAnsi="Tahoma" w:cs="Tahoma"/>
          <w:kern w:val="0"/>
          <w14:ligatures w14:val="none"/>
        </w:rPr>
        <w:t>the case</w:t>
      </w:r>
      <w:r w:rsidR="00BA136C" w:rsidRPr="006C5784">
        <w:rPr>
          <w:rFonts w:ascii="Tahoma" w:eastAsia="MS PGothic" w:hAnsi="Tahoma" w:cs="Tahoma"/>
          <w:kern w:val="0"/>
          <w14:ligatures w14:val="none"/>
        </w:rPr>
        <w:t xml:space="preserve"> without prejudice</w:t>
      </w:r>
      <w:r w:rsidR="003E3CEA" w:rsidRPr="006C5784">
        <w:rPr>
          <w:rFonts w:ascii="Tahoma" w:eastAsia="MS PGothic" w:hAnsi="Tahoma" w:cs="Tahoma"/>
          <w:kern w:val="0"/>
          <w14:ligatures w14:val="none"/>
        </w:rPr>
        <w:t xml:space="preserve"> </w:t>
      </w:r>
      <w:r w:rsidR="003B18D9" w:rsidRPr="006C5784">
        <w:rPr>
          <w:rFonts w:ascii="Tahoma" w:eastAsia="MS PGothic" w:hAnsi="Tahoma" w:cs="Tahoma"/>
          <w:kern w:val="0"/>
          <w14:ligatures w14:val="none"/>
        </w:rPr>
        <w:t>or enter a nolle prosequi</w:t>
      </w:r>
      <w:r w:rsidR="003E3CEA" w:rsidRPr="006C5784">
        <w:rPr>
          <w:rFonts w:ascii="Tahoma" w:eastAsia="MS PGothic" w:hAnsi="Tahoma" w:cs="Tahoma"/>
          <w:kern w:val="0"/>
          <w14:ligatures w14:val="none"/>
        </w:rPr>
        <w:t xml:space="preserve"> </w:t>
      </w:r>
      <w:r w:rsidRPr="006C5784">
        <w:rPr>
          <w:rFonts w:ascii="Tahoma" w:eastAsia="MS PGothic" w:hAnsi="Tahoma" w:cs="Tahoma"/>
          <w:kern w:val="0"/>
          <w14:ligatures w14:val="none"/>
        </w:rPr>
        <w:t>before the jury is sworn (or, in a bench trial, before the first witness is sworn) to avoid the attachment of jeopardy. This will allow for refiling of charges, if applicable.</w:t>
      </w:r>
    </w:p>
    <w:p w14:paraId="545AA654" w14:textId="77777777" w:rsidR="001A697E" w:rsidRPr="006C5784" w:rsidRDefault="001A697E" w:rsidP="00AD6A0F">
      <w:pPr>
        <w:tabs>
          <w:tab w:val="left" w:pos="0"/>
        </w:tabs>
        <w:spacing w:after="0" w:line="240" w:lineRule="auto"/>
        <w:rPr>
          <w:rFonts w:ascii="Tahoma" w:eastAsia="MS PGothic" w:hAnsi="Tahoma" w:cs="Tahoma"/>
          <w:kern w:val="0"/>
          <w14:ligatures w14:val="none"/>
        </w:rPr>
      </w:pPr>
    </w:p>
    <w:p w14:paraId="14B77E84" w14:textId="4D509DBC" w:rsidR="00277370" w:rsidRPr="006C5784" w:rsidRDefault="00DF1BAD" w:rsidP="00277370">
      <w:pPr>
        <w:pStyle w:val="ListParagraph"/>
        <w:numPr>
          <w:ilvl w:val="0"/>
          <w:numId w:val="7"/>
        </w:numPr>
        <w:tabs>
          <w:tab w:val="left" w:pos="0"/>
        </w:tabs>
        <w:spacing w:after="0" w:line="240" w:lineRule="auto"/>
        <w:rPr>
          <w:rFonts w:ascii="Tahoma" w:eastAsia="MS PGothic" w:hAnsi="Tahoma" w:cs="Tahoma"/>
          <w:kern w:val="0"/>
          <w14:ligatures w14:val="none"/>
        </w:rPr>
      </w:pPr>
      <w:r w:rsidRPr="006C5784">
        <w:rPr>
          <w:rFonts w:ascii="Tahoma" w:eastAsia="MS PGothic" w:hAnsi="Tahoma" w:cs="Tahoma"/>
          <w:kern w:val="0"/>
          <w14:ligatures w14:val="none"/>
        </w:rPr>
        <w:t xml:space="preserve">There are </w:t>
      </w:r>
      <w:r w:rsidRPr="006C5784">
        <w:rPr>
          <w:rFonts w:ascii="Tahoma" w:eastAsia="MS PGothic" w:hAnsi="Tahoma" w:cs="Tahoma"/>
          <w:b/>
          <w:bCs/>
          <w:kern w:val="0"/>
          <w:u w:val="single"/>
          <w14:ligatures w14:val="none"/>
        </w:rPr>
        <w:t>limit</w:t>
      </w:r>
      <w:r w:rsidR="00EC73BA" w:rsidRPr="006C5784">
        <w:rPr>
          <w:rFonts w:ascii="Tahoma" w:eastAsia="MS PGothic" w:hAnsi="Tahoma" w:cs="Tahoma"/>
          <w:b/>
          <w:bCs/>
          <w:kern w:val="0"/>
          <w:u w:val="single"/>
          <w14:ligatures w14:val="none"/>
        </w:rPr>
        <w:t>ed</w:t>
      </w:r>
      <w:r w:rsidR="00EC73BA" w:rsidRPr="006C5784">
        <w:rPr>
          <w:rFonts w:ascii="Tahoma" w:eastAsia="MS PGothic" w:hAnsi="Tahoma" w:cs="Tahoma"/>
          <w:kern w:val="0"/>
          <w14:ligatures w14:val="none"/>
        </w:rPr>
        <w:t xml:space="preserve"> times where</w:t>
      </w:r>
      <w:r w:rsidR="0004077C" w:rsidRPr="006C5784">
        <w:rPr>
          <w:rFonts w:ascii="Tahoma" w:eastAsia="MS PGothic" w:hAnsi="Tahoma" w:cs="Tahoma"/>
          <w:kern w:val="0"/>
          <w14:ligatures w14:val="none"/>
        </w:rPr>
        <w:t>,</w:t>
      </w:r>
      <w:r w:rsidR="00EC73BA" w:rsidRPr="006C5784">
        <w:rPr>
          <w:rFonts w:ascii="Tahoma" w:eastAsia="MS PGothic" w:hAnsi="Tahoma" w:cs="Tahoma"/>
          <w:kern w:val="0"/>
          <w14:ligatures w14:val="none"/>
        </w:rPr>
        <w:t xml:space="preserve"> despite a victim’s outright refusal to testify, </w:t>
      </w:r>
      <w:r w:rsidR="00460782" w:rsidRPr="006C5784">
        <w:rPr>
          <w:rFonts w:ascii="Tahoma" w:eastAsia="MS PGothic" w:hAnsi="Tahoma" w:cs="Tahoma"/>
          <w:kern w:val="0"/>
          <w14:ligatures w14:val="none"/>
        </w:rPr>
        <w:t>community safety and offender accountability mandate that a case proceed</w:t>
      </w:r>
      <w:r w:rsidR="00CE548F" w:rsidRPr="006C5784">
        <w:rPr>
          <w:rFonts w:ascii="Tahoma" w:eastAsia="MS PGothic" w:hAnsi="Tahoma" w:cs="Tahoma"/>
          <w:kern w:val="0"/>
          <w14:ligatures w14:val="none"/>
        </w:rPr>
        <w:t xml:space="preserve"> to trial</w:t>
      </w:r>
      <w:r w:rsidR="00502EAA" w:rsidRPr="006C5784">
        <w:rPr>
          <w:rFonts w:ascii="Tahoma" w:eastAsia="MS PGothic" w:hAnsi="Tahoma" w:cs="Tahoma"/>
          <w:kern w:val="0"/>
          <w14:ligatures w14:val="none"/>
        </w:rPr>
        <w:t>.</w:t>
      </w:r>
      <w:r w:rsidR="00460782" w:rsidRPr="006C5784">
        <w:rPr>
          <w:rFonts w:ascii="Tahoma" w:eastAsia="MS PGothic" w:hAnsi="Tahoma" w:cs="Tahoma"/>
          <w:kern w:val="0"/>
          <w14:ligatures w14:val="none"/>
        </w:rPr>
        <w:t xml:space="preserve"> </w:t>
      </w:r>
      <w:r w:rsidR="00502EAA" w:rsidRPr="006C5784">
        <w:rPr>
          <w:rFonts w:ascii="Tahoma" w:eastAsia="MS PGothic" w:hAnsi="Tahoma" w:cs="Tahoma"/>
          <w:kern w:val="0"/>
          <w14:ligatures w14:val="none"/>
        </w:rPr>
        <w:t>C</w:t>
      </w:r>
      <w:r w:rsidR="004C5DC5" w:rsidRPr="006C5784">
        <w:rPr>
          <w:rFonts w:ascii="Tahoma" w:eastAsia="MS PGothic" w:hAnsi="Tahoma" w:cs="Tahoma"/>
          <w:kern w:val="0"/>
          <w14:ligatures w14:val="none"/>
        </w:rPr>
        <w:t xml:space="preserve">hoosing to compel victim testimony </w:t>
      </w:r>
      <w:r w:rsidR="00174416" w:rsidRPr="006C5784">
        <w:rPr>
          <w:rFonts w:ascii="Tahoma" w:eastAsia="MS PGothic" w:hAnsi="Tahoma" w:cs="Tahoma"/>
          <w:kern w:val="0"/>
          <w14:ligatures w14:val="none"/>
        </w:rPr>
        <w:t xml:space="preserve">via </w:t>
      </w:r>
      <w:r w:rsidR="00A534C7" w:rsidRPr="006C5784">
        <w:rPr>
          <w:rFonts w:ascii="Tahoma" w:eastAsia="MS PGothic" w:hAnsi="Tahoma" w:cs="Tahoma"/>
          <w:kern w:val="0"/>
          <w14:ligatures w14:val="none"/>
        </w:rPr>
        <w:t xml:space="preserve">contempt proceedings, </w:t>
      </w:r>
      <w:r w:rsidR="00BA136C" w:rsidRPr="006C5784">
        <w:rPr>
          <w:rFonts w:ascii="Tahoma" w:eastAsia="MS PGothic" w:hAnsi="Tahoma" w:cs="Tahoma"/>
          <w:kern w:val="0"/>
          <w14:ligatures w14:val="none"/>
        </w:rPr>
        <w:t>arrest, detention, or holding a victim in custody</w:t>
      </w:r>
      <w:r w:rsidR="00174416" w:rsidRPr="006C5784">
        <w:rPr>
          <w:rFonts w:ascii="Tahoma" w:eastAsia="MS PGothic" w:hAnsi="Tahoma" w:cs="Tahoma"/>
          <w:kern w:val="0"/>
          <w14:ligatures w14:val="none"/>
        </w:rPr>
        <w:t xml:space="preserve"> is an </w:t>
      </w:r>
      <w:r w:rsidR="004C5DC5" w:rsidRPr="006C5784">
        <w:rPr>
          <w:rFonts w:ascii="Tahoma" w:eastAsia="MS PGothic" w:hAnsi="Tahoma" w:cs="Tahoma"/>
          <w:kern w:val="0"/>
          <w14:ligatures w14:val="none"/>
        </w:rPr>
        <w:t>extreme</w:t>
      </w:r>
      <w:r w:rsidR="00EF217B" w:rsidRPr="006C5784">
        <w:rPr>
          <w:rFonts w:ascii="Tahoma" w:eastAsia="MS PGothic" w:hAnsi="Tahoma" w:cs="Tahoma"/>
          <w:kern w:val="0"/>
          <w14:ligatures w14:val="none"/>
        </w:rPr>
        <w:t xml:space="preserve"> </w:t>
      </w:r>
      <w:r w:rsidR="00663ABF" w:rsidRPr="006C5784">
        <w:rPr>
          <w:rFonts w:ascii="Tahoma" w:eastAsia="MS PGothic" w:hAnsi="Tahoma" w:cs="Tahoma"/>
          <w:kern w:val="0"/>
          <w14:ligatures w14:val="none"/>
        </w:rPr>
        <w:t>measure</w:t>
      </w:r>
      <w:r w:rsidR="008551BC" w:rsidRPr="006C5784">
        <w:rPr>
          <w:rFonts w:ascii="Tahoma" w:eastAsia="MS PGothic" w:hAnsi="Tahoma" w:cs="Tahoma"/>
          <w:kern w:val="0"/>
          <w14:ligatures w14:val="none"/>
        </w:rPr>
        <w:t xml:space="preserve"> that </w:t>
      </w:r>
      <w:r w:rsidR="005F5999" w:rsidRPr="006C5784">
        <w:rPr>
          <w:rFonts w:ascii="Tahoma" w:eastAsia="MS PGothic" w:hAnsi="Tahoma" w:cs="Tahoma"/>
          <w:kern w:val="0"/>
          <w14:ligatures w14:val="none"/>
        </w:rPr>
        <w:t>will most likely</w:t>
      </w:r>
      <w:r w:rsidR="005B4376" w:rsidRPr="006C5784">
        <w:rPr>
          <w:rFonts w:ascii="Tahoma" w:eastAsia="MS PGothic" w:hAnsi="Tahoma" w:cs="Tahoma"/>
          <w:kern w:val="0"/>
          <w14:ligatures w14:val="none"/>
        </w:rPr>
        <w:t xml:space="preserve"> </w:t>
      </w:r>
      <w:r w:rsidR="00185AA7" w:rsidRPr="006C5784">
        <w:rPr>
          <w:rFonts w:ascii="Tahoma" w:eastAsia="MS PGothic" w:hAnsi="Tahoma" w:cs="Tahoma"/>
          <w:kern w:val="0"/>
          <w14:ligatures w14:val="none"/>
        </w:rPr>
        <w:t>re-traumatize the victim.</w:t>
      </w:r>
      <w:r w:rsidR="00140510" w:rsidRPr="006C5784">
        <w:rPr>
          <w:rFonts w:ascii="Tahoma" w:eastAsia="MS PGothic" w:hAnsi="Tahoma" w:cs="Tahoma"/>
          <w:kern w:val="0"/>
          <w14:ligatures w14:val="none"/>
        </w:rPr>
        <w:t xml:space="preserve"> </w:t>
      </w:r>
      <w:r w:rsidR="00BD1736" w:rsidRPr="006C5784">
        <w:rPr>
          <w:rFonts w:ascii="Tahoma" w:eastAsia="MS PGothic" w:hAnsi="Tahoma" w:cs="Tahoma"/>
          <w:kern w:val="0"/>
          <w14:ligatures w14:val="none"/>
        </w:rPr>
        <w:t>Prosecutors should consider the many</w:t>
      </w:r>
      <w:r w:rsidR="00140510" w:rsidRPr="006C5784">
        <w:rPr>
          <w:rFonts w:ascii="Tahoma" w:eastAsia="MS PGothic" w:hAnsi="Tahoma" w:cs="Tahoma"/>
          <w:kern w:val="0"/>
          <w14:ligatures w14:val="none"/>
        </w:rPr>
        <w:t xml:space="preserve"> collateral consequences </w:t>
      </w:r>
      <w:r w:rsidR="00BD1736" w:rsidRPr="006C5784">
        <w:rPr>
          <w:rFonts w:ascii="Tahoma" w:eastAsia="MS PGothic" w:hAnsi="Tahoma" w:cs="Tahoma"/>
          <w:kern w:val="0"/>
          <w14:ligatures w14:val="none"/>
        </w:rPr>
        <w:t xml:space="preserve">that a victim will face, including but not limited to: </w:t>
      </w:r>
      <w:r w:rsidR="00E47CE4" w:rsidRPr="006C5784">
        <w:rPr>
          <w:rFonts w:ascii="Tahoma" w:eastAsia="MS PGothic" w:hAnsi="Tahoma" w:cs="Tahoma"/>
          <w:kern w:val="0"/>
          <w14:ligatures w14:val="none"/>
        </w:rPr>
        <w:t>the</w:t>
      </w:r>
      <w:r w:rsidR="00BD1736" w:rsidRPr="006C5784">
        <w:rPr>
          <w:rFonts w:ascii="Tahoma" w:eastAsia="MS PGothic" w:hAnsi="Tahoma" w:cs="Tahoma"/>
          <w:kern w:val="0"/>
          <w14:ligatures w14:val="none"/>
        </w:rPr>
        <w:t xml:space="preserve"> victim’s children </w:t>
      </w:r>
      <w:r w:rsidR="00E47CE4" w:rsidRPr="006C5784">
        <w:rPr>
          <w:rFonts w:ascii="Tahoma" w:eastAsia="MS PGothic" w:hAnsi="Tahoma" w:cs="Tahoma"/>
          <w:kern w:val="0"/>
          <w14:ligatures w14:val="none"/>
        </w:rPr>
        <w:t>being placed</w:t>
      </w:r>
      <w:r w:rsidR="00BD1736" w:rsidRPr="006C5784">
        <w:rPr>
          <w:rFonts w:ascii="Tahoma" w:eastAsia="MS PGothic" w:hAnsi="Tahoma" w:cs="Tahoma"/>
          <w:kern w:val="0"/>
          <w14:ligatures w14:val="none"/>
        </w:rPr>
        <w:t xml:space="preserve"> with</w:t>
      </w:r>
      <w:r w:rsidR="0065368A" w:rsidRPr="006C5784">
        <w:rPr>
          <w:rFonts w:ascii="Tahoma" w:eastAsia="MS PGothic" w:hAnsi="Tahoma" w:cs="Tahoma"/>
          <w:kern w:val="0"/>
          <w14:ligatures w14:val="none"/>
        </w:rPr>
        <w:t xml:space="preserve"> the [Department of Children and Families] or with the offender</w:t>
      </w:r>
      <w:r w:rsidR="00F235E0" w:rsidRPr="006C5784">
        <w:rPr>
          <w:rFonts w:ascii="Tahoma" w:eastAsia="MS PGothic" w:hAnsi="Tahoma" w:cs="Tahoma"/>
          <w:kern w:val="0"/>
          <w14:ligatures w14:val="none"/>
        </w:rPr>
        <w:t>,</w:t>
      </w:r>
      <w:r w:rsidR="0065368A" w:rsidRPr="006C5784">
        <w:rPr>
          <w:rFonts w:ascii="Tahoma" w:eastAsia="MS PGothic" w:hAnsi="Tahoma" w:cs="Tahoma"/>
          <w:kern w:val="0"/>
          <w14:ligatures w14:val="none"/>
        </w:rPr>
        <w:t xml:space="preserve"> as well as the victim’s increased distrust of the criminal justice system, leading to an unwillingness to contact law enforcement if the defendant re-offends</w:t>
      </w:r>
      <w:r w:rsidR="00140510" w:rsidRPr="006C5784">
        <w:rPr>
          <w:rFonts w:ascii="Tahoma" w:eastAsia="MS PGothic" w:hAnsi="Tahoma" w:cs="Tahoma"/>
          <w:kern w:val="0"/>
          <w14:ligatures w14:val="none"/>
        </w:rPr>
        <w:t>.</w:t>
      </w:r>
      <w:r w:rsidR="00E47CE4" w:rsidRPr="006C5784">
        <w:rPr>
          <w:rFonts w:ascii="Tahoma" w:eastAsia="MS PGothic" w:hAnsi="Tahoma" w:cs="Tahoma"/>
          <w:kern w:val="0"/>
          <w14:ligatures w14:val="none"/>
        </w:rPr>
        <w:t xml:space="preserve"> Having a victim held in custody</w:t>
      </w:r>
      <w:r w:rsidR="00026CAB" w:rsidRPr="006C5784">
        <w:rPr>
          <w:rFonts w:ascii="Tahoma" w:eastAsia="MS PGothic" w:hAnsi="Tahoma" w:cs="Tahoma"/>
          <w:kern w:val="0"/>
          <w14:ligatures w14:val="none"/>
        </w:rPr>
        <w:t xml:space="preserve"> </w:t>
      </w:r>
      <w:r w:rsidR="00174416" w:rsidRPr="006C5784">
        <w:rPr>
          <w:rFonts w:ascii="Tahoma" w:eastAsia="MS PGothic" w:hAnsi="Tahoma" w:cs="Tahoma"/>
          <w:kern w:val="0"/>
          <w14:ligatures w14:val="none"/>
        </w:rPr>
        <w:t xml:space="preserve">requires significant consideration about whether the ends justify the means, </w:t>
      </w:r>
      <w:r w:rsidR="00174416" w:rsidRPr="006C5784">
        <w:rPr>
          <w:rFonts w:ascii="Tahoma" w:eastAsia="MS PGothic" w:hAnsi="Tahoma" w:cs="Tahoma"/>
          <w:kern w:val="0"/>
          <w14:ligatures w14:val="none"/>
        </w:rPr>
        <w:lastRenderedPageBreak/>
        <w:t xml:space="preserve">whether </w:t>
      </w:r>
      <w:r w:rsidR="004732BD" w:rsidRPr="006C5784">
        <w:rPr>
          <w:rFonts w:ascii="Tahoma" w:eastAsia="MS PGothic" w:hAnsi="Tahoma" w:cs="Tahoma"/>
          <w:kern w:val="0"/>
          <w14:ligatures w14:val="none"/>
        </w:rPr>
        <w:t>th</w:t>
      </w:r>
      <w:r w:rsidR="00026CAB" w:rsidRPr="006C5784">
        <w:rPr>
          <w:rFonts w:ascii="Tahoma" w:eastAsia="MS PGothic" w:hAnsi="Tahoma" w:cs="Tahoma"/>
          <w:kern w:val="0"/>
          <w14:ligatures w14:val="none"/>
        </w:rPr>
        <w:t>e prosecutor’s</w:t>
      </w:r>
      <w:r w:rsidR="004732BD" w:rsidRPr="006C5784">
        <w:rPr>
          <w:rFonts w:ascii="Tahoma" w:eastAsia="MS PGothic" w:hAnsi="Tahoma" w:cs="Tahoma"/>
          <w:kern w:val="0"/>
          <w14:ligatures w14:val="none"/>
        </w:rPr>
        <w:t xml:space="preserve"> office is</w:t>
      </w:r>
      <w:r w:rsidR="00174416" w:rsidRPr="006C5784">
        <w:rPr>
          <w:rFonts w:ascii="Tahoma" w:eastAsia="MS PGothic" w:hAnsi="Tahoma" w:cs="Tahoma"/>
          <w:kern w:val="0"/>
          <w14:ligatures w14:val="none"/>
        </w:rPr>
        <w:t xml:space="preserve"> putting the victim’s safety or </w:t>
      </w:r>
      <w:r w:rsidR="004732BD" w:rsidRPr="006C5784">
        <w:rPr>
          <w:rFonts w:ascii="Tahoma" w:eastAsia="MS PGothic" w:hAnsi="Tahoma" w:cs="Tahoma"/>
          <w:kern w:val="0"/>
          <w14:ligatures w14:val="none"/>
        </w:rPr>
        <w:t>their</w:t>
      </w:r>
      <w:r w:rsidR="00174416" w:rsidRPr="006C5784">
        <w:rPr>
          <w:rFonts w:ascii="Tahoma" w:eastAsia="MS PGothic" w:hAnsi="Tahoma" w:cs="Tahoma"/>
          <w:kern w:val="0"/>
          <w14:ligatures w14:val="none"/>
        </w:rPr>
        <w:t xml:space="preserve"> family at risk, and whether the need for offender accountability outweighs the consequences to the victim.</w:t>
      </w:r>
      <w:r w:rsidR="00423984" w:rsidRPr="006C5784">
        <w:rPr>
          <w:rFonts w:ascii="Tahoma" w:eastAsia="MS PGothic" w:hAnsi="Tahoma" w:cs="Tahoma"/>
          <w:kern w:val="0"/>
          <w14:ligatures w14:val="none"/>
        </w:rPr>
        <w:t xml:space="preserve"> </w:t>
      </w:r>
      <w:r w:rsidR="00E47CE4" w:rsidRPr="006C5784">
        <w:rPr>
          <w:rFonts w:ascii="Tahoma" w:eastAsia="MS PGothic" w:hAnsi="Tahoma" w:cs="Tahoma"/>
          <w:b/>
          <w:bCs/>
          <w:kern w:val="0"/>
          <w14:ligatures w14:val="none"/>
        </w:rPr>
        <w:t>Making this decision</w:t>
      </w:r>
      <w:r w:rsidR="00BA136C" w:rsidRPr="006C5784">
        <w:rPr>
          <w:rFonts w:ascii="Tahoma" w:eastAsia="MS PGothic" w:hAnsi="Tahoma" w:cs="Tahoma"/>
          <w:b/>
          <w:bCs/>
          <w:kern w:val="0"/>
          <w14:ligatures w14:val="none"/>
        </w:rPr>
        <w:t xml:space="preserve"> </w:t>
      </w:r>
      <w:r w:rsidR="003719F1" w:rsidRPr="006C5784">
        <w:rPr>
          <w:rFonts w:ascii="Tahoma" w:eastAsia="MS PGothic" w:hAnsi="Tahoma" w:cs="Tahoma"/>
          <w:b/>
          <w:bCs/>
          <w:kern w:val="0"/>
          <w14:ligatures w14:val="none"/>
        </w:rPr>
        <w:t xml:space="preserve">is a highly deliberative process, not to be </w:t>
      </w:r>
      <w:r w:rsidR="004946AE" w:rsidRPr="006C5784">
        <w:rPr>
          <w:rFonts w:ascii="Tahoma" w:eastAsia="MS PGothic" w:hAnsi="Tahoma" w:cs="Tahoma"/>
          <w:b/>
          <w:bCs/>
          <w:kern w:val="0"/>
          <w14:ligatures w14:val="none"/>
        </w:rPr>
        <w:t>first considered</w:t>
      </w:r>
      <w:r w:rsidR="003719F1" w:rsidRPr="006C5784">
        <w:rPr>
          <w:rFonts w:ascii="Tahoma" w:eastAsia="MS PGothic" w:hAnsi="Tahoma" w:cs="Tahoma"/>
          <w:b/>
          <w:bCs/>
          <w:kern w:val="0"/>
          <w14:ligatures w14:val="none"/>
        </w:rPr>
        <w:t xml:space="preserve"> on the eve of trial</w:t>
      </w:r>
      <w:r w:rsidR="004946AE" w:rsidRPr="006C5784">
        <w:rPr>
          <w:rFonts w:ascii="Tahoma" w:eastAsia="MS PGothic" w:hAnsi="Tahoma" w:cs="Tahoma"/>
          <w:b/>
          <w:bCs/>
          <w:kern w:val="0"/>
          <w14:ligatures w14:val="none"/>
        </w:rPr>
        <w:t>, and to be undertaken sparingly, if ever, during a prosecutor’s career.</w:t>
      </w:r>
    </w:p>
    <w:p w14:paraId="54FFD927" w14:textId="77777777" w:rsidR="00664FA1" w:rsidRPr="006C5784" w:rsidRDefault="00664FA1" w:rsidP="00664FA1">
      <w:pPr>
        <w:pStyle w:val="ListParagraph"/>
        <w:rPr>
          <w:rFonts w:ascii="Tahoma" w:eastAsia="MS PGothic" w:hAnsi="Tahoma" w:cs="Tahoma"/>
          <w:kern w:val="0"/>
          <w14:ligatures w14:val="none"/>
        </w:rPr>
      </w:pPr>
    </w:p>
    <w:p w14:paraId="638FD584" w14:textId="5A69177E" w:rsidR="00664FA1" w:rsidRPr="006C5784" w:rsidRDefault="00664FA1" w:rsidP="00EC66A4">
      <w:pPr>
        <w:pStyle w:val="ListParagraph"/>
        <w:numPr>
          <w:ilvl w:val="0"/>
          <w:numId w:val="7"/>
        </w:numPr>
        <w:tabs>
          <w:tab w:val="left" w:pos="0"/>
        </w:tabs>
        <w:spacing w:after="0" w:line="240" w:lineRule="auto"/>
        <w:rPr>
          <w:rFonts w:ascii="Tahoma" w:eastAsia="MS PGothic" w:hAnsi="Tahoma" w:cs="Tahoma"/>
          <w:kern w:val="0"/>
          <w14:ligatures w14:val="none"/>
        </w:rPr>
      </w:pPr>
      <w:r w:rsidRPr="006C5784">
        <w:rPr>
          <w:rFonts w:ascii="Tahoma" w:eastAsia="MS PGothic" w:hAnsi="Tahoma" w:cs="Tahoma"/>
          <w:kern w:val="0"/>
          <w14:ligatures w14:val="none"/>
        </w:rPr>
        <w:t>Prosecutors may only consider this option after all of the following criteria are met:</w:t>
      </w:r>
      <w:r w:rsidR="00EC66A4" w:rsidRPr="006C5784">
        <w:rPr>
          <w:rFonts w:ascii="Tahoma" w:eastAsia="MS PGothic" w:hAnsi="Tahoma" w:cs="Tahoma"/>
          <w:kern w:val="0"/>
          <w14:ligatures w14:val="none"/>
        </w:rPr>
        <w:t xml:space="preserve"> (1) all other options</w:t>
      </w:r>
      <w:r w:rsidR="00E47F46" w:rsidRPr="006C5784">
        <w:rPr>
          <w:rFonts w:ascii="Tahoma" w:eastAsia="MS PGothic" w:hAnsi="Tahoma" w:cs="Tahoma"/>
          <w:kern w:val="0"/>
          <w14:ligatures w14:val="none"/>
        </w:rPr>
        <w:t xml:space="preserve"> and practices </w:t>
      </w:r>
      <w:r w:rsidR="00EC66A4" w:rsidRPr="006C5784">
        <w:rPr>
          <w:rFonts w:ascii="Tahoma" w:eastAsia="MS PGothic" w:hAnsi="Tahoma" w:cs="Tahoma"/>
          <w:kern w:val="0"/>
          <w14:ligatures w14:val="none"/>
        </w:rPr>
        <w:t>outlined in this document have been exhausted</w:t>
      </w:r>
      <w:r w:rsidR="00694042" w:rsidRPr="006C5784">
        <w:rPr>
          <w:rFonts w:ascii="Tahoma" w:eastAsia="MS PGothic" w:hAnsi="Tahoma" w:cs="Tahoma"/>
          <w:kern w:val="0"/>
          <w14:ligatures w14:val="none"/>
        </w:rPr>
        <w:t xml:space="preserve">; (2) </w:t>
      </w:r>
      <w:r w:rsidR="00E47F46" w:rsidRPr="006C5784">
        <w:rPr>
          <w:rFonts w:ascii="Tahoma" w:eastAsia="MS PGothic" w:hAnsi="Tahoma" w:cs="Tahoma"/>
          <w:kern w:val="0"/>
          <w14:ligatures w14:val="none"/>
        </w:rPr>
        <w:t xml:space="preserve">the </w:t>
      </w:r>
      <w:r w:rsidR="00694042" w:rsidRPr="006C5784">
        <w:rPr>
          <w:rFonts w:ascii="Tahoma" w:eastAsia="MS PGothic" w:hAnsi="Tahoma" w:cs="Tahoma"/>
          <w:kern w:val="0"/>
          <w14:ligatures w14:val="none"/>
        </w:rPr>
        <w:t>crime at issue</w:t>
      </w:r>
      <w:r w:rsidR="00824CC7" w:rsidRPr="006C5784">
        <w:rPr>
          <w:rFonts w:ascii="Tahoma" w:eastAsia="MS PGothic" w:hAnsi="Tahoma" w:cs="Tahoma"/>
          <w:kern w:val="0"/>
          <w14:ligatures w14:val="none"/>
        </w:rPr>
        <w:t xml:space="preserve"> </w:t>
      </w:r>
      <w:r w:rsidR="00694042" w:rsidRPr="006C5784">
        <w:rPr>
          <w:rFonts w:ascii="Tahoma" w:eastAsia="MS PGothic" w:hAnsi="Tahoma" w:cs="Tahoma"/>
          <w:kern w:val="0"/>
          <w14:ligatures w14:val="none"/>
        </w:rPr>
        <w:t>is extraordinarily serious</w:t>
      </w:r>
      <w:r w:rsidR="005843BF" w:rsidRPr="006C5784">
        <w:rPr>
          <w:rFonts w:ascii="Tahoma" w:eastAsia="MS PGothic" w:hAnsi="Tahoma" w:cs="Tahoma"/>
          <w:kern w:val="0"/>
          <w14:ligatures w14:val="none"/>
        </w:rPr>
        <w:t>, there is a high likelihood of conviction, and it is likely that a significant sentence will be imposed</w:t>
      </w:r>
      <w:r w:rsidR="00E245A1" w:rsidRPr="006C5784">
        <w:rPr>
          <w:rFonts w:ascii="Tahoma" w:eastAsia="MS PGothic" w:hAnsi="Tahoma" w:cs="Tahoma"/>
          <w:kern w:val="0"/>
          <w14:ligatures w14:val="none"/>
        </w:rPr>
        <w:t xml:space="preserve"> upon conviction</w:t>
      </w:r>
      <w:r w:rsidR="005843BF" w:rsidRPr="006C5784">
        <w:rPr>
          <w:rFonts w:ascii="Tahoma" w:eastAsia="MS PGothic" w:hAnsi="Tahoma" w:cs="Tahoma"/>
          <w:kern w:val="0"/>
          <w14:ligatures w14:val="none"/>
        </w:rPr>
        <w:t>; (3) the defendant</w:t>
      </w:r>
      <w:r w:rsidR="00217FE3" w:rsidRPr="006C5784">
        <w:rPr>
          <w:rFonts w:ascii="Tahoma" w:eastAsia="MS PGothic" w:hAnsi="Tahoma" w:cs="Tahoma"/>
          <w:kern w:val="0"/>
          <w14:ligatures w14:val="none"/>
        </w:rPr>
        <w:t xml:space="preserve"> poses a grave threat to the community</w:t>
      </w:r>
      <w:r w:rsidR="00BA136C" w:rsidRPr="006C5784">
        <w:rPr>
          <w:rFonts w:ascii="Tahoma" w:eastAsia="MS PGothic" w:hAnsi="Tahoma" w:cs="Tahoma"/>
          <w:kern w:val="0"/>
          <w14:ligatures w14:val="none"/>
        </w:rPr>
        <w:t xml:space="preserve">, </w:t>
      </w:r>
      <w:r w:rsidR="006D16A9" w:rsidRPr="006C5784">
        <w:rPr>
          <w:rFonts w:ascii="Tahoma" w:eastAsia="MS PGothic" w:hAnsi="Tahoma" w:cs="Tahoma"/>
          <w:kern w:val="0"/>
          <w14:ligatures w14:val="none"/>
        </w:rPr>
        <w:t>to the victim</w:t>
      </w:r>
      <w:r w:rsidR="00BA136C" w:rsidRPr="006C5784">
        <w:rPr>
          <w:rFonts w:ascii="Tahoma" w:eastAsia="MS PGothic" w:hAnsi="Tahoma" w:cs="Tahoma"/>
          <w:kern w:val="0"/>
          <w14:ligatures w14:val="none"/>
        </w:rPr>
        <w:t>, or to the victim’s family</w:t>
      </w:r>
      <w:r w:rsidR="000C7D3C" w:rsidRPr="006C5784">
        <w:rPr>
          <w:rFonts w:ascii="Tahoma" w:eastAsia="MS PGothic" w:hAnsi="Tahoma" w:cs="Tahoma"/>
          <w:kern w:val="0"/>
          <w14:ligatures w14:val="none"/>
        </w:rPr>
        <w:t xml:space="preserve"> </w:t>
      </w:r>
      <w:r w:rsidR="00E245A1" w:rsidRPr="006C5784">
        <w:rPr>
          <w:rFonts w:ascii="Tahoma" w:eastAsia="MS PGothic" w:hAnsi="Tahoma" w:cs="Tahoma"/>
          <w:kern w:val="0"/>
          <w14:ligatures w14:val="none"/>
        </w:rPr>
        <w:t>should</w:t>
      </w:r>
      <w:r w:rsidR="000C7D3C" w:rsidRPr="006C5784">
        <w:rPr>
          <w:rFonts w:ascii="Tahoma" w:eastAsia="MS PGothic" w:hAnsi="Tahoma" w:cs="Tahoma"/>
          <w:kern w:val="0"/>
          <w14:ligatures w14:val="none"/>
        </w:rPr>
        <w:t xml:space="preserve"> the case </w:t>
      </w:r>
      <w:r w:rsidR="00E245A1" w:rsidRPr="006C5784">
        <w:rPr>
          <w:rFonts w:ascii="Tahoma" w:eastAsia="MS PGothic" w:hAnsi="Tahoma" w:cs="Tahoma"/>
          <w:kern w:val="0"/>
          <w14:ligatures w14:val="none"/>
        </w:rPr>
        <w:t>be</w:t>
      </w:r>
      <w:r w:rsidR="000C7D3C" w:rsidRPr="006C5784">
        <w:rPr>
          <w:rFonts w:ascii="Tahoma" w:eastAsia="MS PGothic" w:hAnsi="Tahoma" w:cs="Tahoma"/>
          <w:kern w:val="0"/>
          <w14:ligatures w14:val="none"/>
        </w:rPr>
        <w:t xml:space="preserve"> dismissed</w:t>
      </w:r>
      <w:r w:rsidR="006D16A9" w:rsidRPr="006C5784">
        <w:rPr>
          <w:rFonts w:ascii="Tahoma" w:eastAsia="MS PGothic" w:hAnsi="Tahoma" w:cs="Tahoma"/>
          <w:kern w:val="0"/>
          <w14:ligatures w14:val="none"/>
        </w:rPr>
        <w:t xml:space="preserve">; (4) the victim has indicated a refusal to </w:t>
      </w:r>
      <w:r w:rsidR="00E24A04" w:rsidRPr="006C5784">
        <w:rPr>
          <w:rFonts w:ascii="Tahoma" w:eastAsia="MS PGothic" w:hAnsi="Tahoma" w:cs="Tahoma"/>
          <w:kern w:val="0"/>
          <w14:ligatures w14:val="none"/>
        </w:rPr>
        <w:t>comply with</w:t>
      </w:r>
      <w:r w:rsidR="000F5061" w:rsidRPr="006C5784">
        <w:rPr>
          <w:rFonts w:ascii="Tahoma" w:eastAsia="MS PGothic" w:hAnsi="Tahoma" w:cs="Tahoma"/>
          <w:kern w:val="0"/>
          <w14:ligatures w14:val="none"/>
        </w:rPr>
        <w:t xml:space="preserve"> a lawfully-executed subpoena, has been evading </w:t>
      </w:r>
      <w:r w:rsidR="00A51839" w:rsidRPr="006C5784">
        <w:rPr>
          <w:rFonts w:ascii="Tahoma" w:eastAsia="MS PGothic" w:hAnsi="Tahoma" w:cs="Tahoma"/>
          <w:kern w:val="0"/>
          <w14:ligatures w14:val="none"/>
        </w:rPr>
        <w:t xml:space="preserve">subpoena service, or has ignored all attempts at contact; </w:t>
      </w:r>
      <w:r w:rsidR="00F972DD" w:rsidRPr="006C5784">
        <w:rPr>
          <w:rFonts w:ascii="Tahoma" w:eastAsia="MS PGothic" w:hAnsi="Tahoma" w:cs="Tahoma"/>
          <w:kern w:val="0"/>
          <w14:ligatures w14:val="none"/>
        </w:rPr>
        <w:t>(5) the court has denied</w:t>
      </w:r>
      <w:r w:rsidR="003719F1" w:rsidRPr="006C5784">
        <w:rPr>
          <w:rFonts w:ascii="Tahoma" w:eastAsia="MS PGothic" w:hAnsi="Tahoma" w:cs="Tahoma"/>
          <w:kern w:val="0"/>
          <w14:ligatures w14:val="none"/>
        </w:rPr>
        <w:t>/will deny</w:t>
      </w:r>
      <w:r w:rsidR="00F972DD" w:rsidRPr="006C5784">
        <w:rPr>
          <w:rFonts w:ascii="Tahoma" w:eastAsia="MS PGothic" w:hAnsi="Tahoma" w:cs="Tahoma"/>
          <w:kern w:val="0"/>
          <w14:ligatures w14:val="none"/>
        </w:rPr>
        <w:t xml:space="preserve"> the prosecutor’s motion for a continuance</w:t>
      </w:r>
      <w:r w:rsidR="00A061F0" w:rsidRPr="006C5784">
        <w:rPr>
          <w:rFonts w:ascii="Tahoma" w:eastAsia="MS PGothic" w:hAnsi="Tahoma" w:cs="Tahoma"/>
          <w:kern w:val="0"/>
          <w14:ligatures w14:val="none"/>
        </w:rPr>
        <w:t>;</w:t>
      </w:r>
      <w:r w:rsidR="001069D9" w:rsidRPr="006C5784">
        <w:rPr>
          <w:rFonts w:ascii="Tahoma" w:eastAsia="MS PGothic" w:hAnsi="Tahoma" w:cs="Tahoma"/>
          <w:kern w:val="0"/>
          <w14:ligatures w14:val="none"/>
        </w:rPr>
        <w:t xml:space="preserve"> </w:t>
      </w:r>
      <w:r w:rsidR="00C13538" w:rsidRPr="006C5784">
        <w:rPr>
          <w:rFonts w:ascii="Tahoma" w:eastAsia="MS PGothic" w:hAnsi="Tahoma" w:cs="Tahoma"/>
          <w:kern w:val="0"/>
          <w14:ligatures w14:val="none"/>
        </w:rPr>
        <w:t xml:space="preserve">and </w:t>
      </w:r>
      <w:r w:rsidR="00A51839" w:rsidRPr="006C5784">
        <w:rPr>
          <w:rFonts w:ascii="Tahoma" w:eastAsia="MS PGothic" w:hAnsi="Tahoma" w:cs="Tahoma"/>
          <w:kern w:val="0"/>
          <w14:ligatures w14:val="none"/>
        </w:rPr>
        <w:t>(</w:t>
      </w:r>
      <w:r w:rsidR="001069D9" w:rsidRPr="006C5784">
        <w:rPr>
          <w:rFonts w:ascii="Tahoma" w:eastAsia="MS PGothic" w:hAnsi="Tahoma" w:cs="Tahoma"/>
          <w:kern w:val="0"/>
          <w14:ligatures w14:val="none"/>
        </w:rPr>
        <w:t>6</w:t>
      </w:r>
      <w:r w:rsidR="00771FB8" w:rsidRPr="006C5784">
        <w:rPr>
          <w:rFonts w:ascii="Tahoma" w:eastAsia="MS PGothic" w:hAnsi="Tahoma" w:cs="Tahoma"/>
          <w:kern w:val="0"/>
          <w14:ligatures w14:val="none"/>
        </w:rPr>
        <w:t>) a supervisor with experience prosecuting these cases and the</w:t>
      </w:r>
      <w:r w:rsidR="005B54D9" w:rsidRPr="006C5784">
        <w:rPr>
          <w:rFonts w:ascii="Tahoma" w:eastAsia="MS PGothic" w:hAnsi="Tahoma" w:cs="Tahoma"/>
          <w:kern w:val="0"/>
          <w14:ligatures w14:val="none"/>
        </w:rPr>
        <w:t xml:space="preserve"> head of the office</w:t>
      </w:r>
      <w:r w:rsidR="00771FB8" w:rsidRPr="006C5784">
        <w:rPr>
          <w:rFonts w:ascii="Tahoma" w:eastAsia="MS PGothic" w:hAnsi="Tahoma" w:cs="Tahoma"/>
          <w:kern w:val="0"/>
          <w14:ligatures w14:val="none"/>
        </w:rPr>
        <w:t xml:space="preserve"> concur</w:t>
      </w:r>
      <w:r w:rsidR="00C13538" w:rsidRPr="006C5784">
        <w:rPr>
          <w:rFonts w:ascii="Tahoma" w:eastAsia="MS PGothic" w:hAnsi="Tahoma" w:cs="Tahoma"/>
          <w:kern w:val="0"/>
          <w14:ligatures w14:val="none"/>
        </w:rPr>
        <w:t xml:space="preserve"> with arresting the victim to compel testimony.</w:t>
      </w:r>
    </w:p>
    <w:p w14:paraId="1229676B" w14:textId="77777777" w:rsidR="004708EE" w:rsidRPr="006C5784" w:rsidRDefault="004708EE" w:rsidP="004708EE">
      <w:pPr>
        <w:pStyle w:val="ListParagraph"/>
        <w:rPr>
          <w:rFonts w:ascii="Tahoma" w:eastAsia="MS PGothic" w:hAnsi="Tahoma" w:cs="Tahoma"/>
          <w:kern w:val="0"/>
          <w14:ligatures w14:val="none"/>
        </w:rPr>
      </w:pPr>
    </w:p>
    <w:p w14:paraId="4DD226DA" w14:textId="14FC2EC5" w:rsidR="004708EE" w:rsidRPr="006C5784" w:rsidRDefault="005674C4" w:rsidP="00EC66A4">
      <w:pPr>
        <w:pStyle w:val="ListParagraph"/>
        <w:numPr>
          <w:ilvl w:val="0"/>
          <w:numId w:val="7"/>
        </w:numPr>
        <w:tabs>
          <w:tab w:val="left" w:pos="0"/>
        </w:tabs>
        <w:spacing w:after="0" w:line="240" w:lineRule="auto"/>
        <w:rPr>
          <w:rFonts w:ascii="Tahoma" w:eastAsia="MS PGothic" w:hAnsi="Tahoma" w:cs="Tahoma"/>
          <w:kern w:val="0"/>
          <w14:ligatures w14:val="none"/>
        </w:rPr>
      </w:pPr>
      <w:r w:rsidRPr="006C5784">
        <w:rPr>
          <w:rFonts w:ascii="Tahoma" w:eastAsia="MS PGothic" w:hAnsi="Tahoma" w:cs="Tahoma"/>
          <w:kern w:val="0"/>
          <w14:ligatures w14:val="none"/>
        </w:rPr>
        <w:t>Most cases where the victim refuses to participate will not meet</w:t>
      </w:r>
      <w:r w:rsidR="008E24DC" w:rsidRPr="006C5784">
        <w:rPr>
          <w:rFonts w:ascii="Tahoma" w:eastAsia="MS PGothic" w:hAnsi="Tahoma" w:cs="Tahoma"/>
          <w:kern w:val="0"/>
          <w14:ligatures w14:val="none"/>
        </w:rPr>
        <w:t xml:space="preserve"> the </w:t>
      </w:r>
      <w:proofErr w:type="gramStart"/>
      <w:r w:rsidR="008E24DC" w:rsidRPr="006C5784">
        <w:rPr>
          <w:rFonts w:ascii="Tahoma" w:eastAsia="MS PGothic" w:hAnsi="Tahoma" w:cs="Tahoma"/>
          <w:kern w:val="0"/>
          <w14:ligatures w14:val="none"/>
        </w:rPr>
        <w:t>aforementioned criteria</w:t>
      </w:r>
      <w:proofErr w:type="gramEnd"/>
      <w:r w:rsidR="008E24DC" w:rsidRPr="006C5784">
        <w:rPr>
          <w:rFonts w:ascii="Tahoma" w:eastAsia="MS PGothic" w:hAnsi="Tahoma" w:cs="Tahoma"/>
          <w:kern w:val="0"/>
          <w14:ligatures w14:val="none"/>
        </w:rPr>
        <w:t xml:space="preserve">. </w:t>
      </w:r>
    </w:p>
    <w:p w14:paraId="53E21627" w14:textId="1FD38E16" w:rsidR="001B62F5" w:rsidRPr="006C5784" w:rsidRDefault="001B62F5" w:rsidP="00245704">
      <w:pPr>
        <w:tabs>
          <w:tab w:val="left" w:pos="0"/>
        </w:tabs>
        <w:spacing w:after="0" w:line="240" w:lineRule="auto"/>
        <w:rPr>
          <w:rFonts w:ascii="Tahoma" w:eastAsia="MS PGothic" w:hAnsi="Tahoma" w:cs="Tahoma"/>
          <w:kern w:val="0"/>
          <w14:ligatures w14:val="none"/>
        </w:rPr>
      </w:pPr>
    </w:p>
    <w:p w14:paraId="32FB5269" w14:textId="2526B0BF" w:rsidR="00321302" w:rsidRPr="006C5784" w:rsidRDefault="00F45F15" w:rsidP="00751E58">
      <w:pPr>
        <w:pStyle w:val="ListParagraph"/>
        <w:numPr>
          <w:ilvl w:val="0"/>
          <w:numId w:val="4"/>
        </w:numPr>
        <w:tabs>
          <w:tab w:val="left" w:pos="0"/>
        </w:tabs>
        <w:spacing w:after="0" w:line="240" w:lineRule="auto"/>
        <w:rPr>
          <w:rFonts w:ascii="Tahoma" w:eastAsia="MS PGothic" w:hAnsi="Tahoma" w:cs="Tahoma"/>
          <w:kern w:val="0"/>
          <w:u w:val="single"/>
          <w14:ligatures w14:val="none"/>
        </w:rPr>
      </w:pPr>
      <w:r w:rsidRPr="006C5784">
        <w:rPr>
          <w:rFonts w:ascii="Tahoma" w:eastAsia="MS PGothic" w:hAnsi="Tahoma" w:cs="Tahoma"/>
          <w:kern w:val="0"/>
          <w:u w:val="single"/>
          <w14:ligatures w14:val="none"/>
        </w:rPr>
        <w:t>The Process for See</w:t>
      </w:r>
      <w:r w:rsidR="00F02406" w:rsidRPr="006C5784">
        <w:rPr>
          <w:rFonts w:ascii="Tahoma" w:eastAsia="MS PGothic" w:hAnsi="Tahoma" w:cs="Tahoma"/>
          <w:kern w:val="0"/>
          <w:u w:val="single"/>
          <w14:ligatures w14:val="none"/>
        </w:rPr>
        <w:t>king to Hold the Victim in Custody</w:t>
      </w:r>
    </w:p>
    <w:p w14:paraId="347174A8" w14:textId="77777777" w:rsidR="003728A5" w:rsidRPr="006C5784" w:rsidRDefault="003728A5" w:rsidP="003728A5">
      <w:pPr>
        <w:pStyle w:val="ListParagraph"/>
        <w:tabs>
          <w:tab w:val="left" w:pos="0"/>
        </w:tabs>
        <w:spacing w:after="0" w:line="240" w:lineRule="auto"/>
        <w:rPr>
          <w:rFonts w:ascii="Tahoma" w:eastAsia="MS PGothic" w:hAnsi="Tahoma" w:cs="Tahoma"/>
          <w:kern w:val="0"/>
          <w:u w:val="single"/>
          <w14:ligatures w14:val="none"/>
        </w:rPr>
      </w:pPr>
    </w:p>
    <w:p w14:paraId="306B51F1" w14:textId="14283D03" w:rsidR="00C438B1" w:rsidRPr="006C5784" w:rsidRDefault="00664F49" w:rsidP="46B4B7B0">
      <w:pPr>
        <w:spacing w:after="0" w:line="240" w:lineRule="auto"/>
        <w:rPr>
          <w:rFonts w:ascii="Tahoma" w:eastAsia="MS PGothic" w:hAnsi="Tahoma" w:cs="Tahoma"/>
          <w:kern w:val="0"/>
          <w14:ligatures w14:val="none"/>
        </w:rPr>
      </w:pPr>
      <w:r w:rsidRPr="006C5784">
        <w:rPr>
          <w:rFonts w:ascii="Tahoma" w:eastAsia="MS PGothic" w:hAnsi="Tahoma" w:cs="Tahoma"/>
        </w:rPr>
        <w:t>[</w:t>
      </w:r>
      <w:r w:rsidR="00443279" w:rsidRPr="006C5784">
        <w:rPr>
          <w:rFonts w:ascii="Tahoma" w:eastAsia="MS PGothic" w:hAnsi="Tahoma" w:cs="Tahoma"/>
          <w:kern w:val="0"/>
          <w14:ligatures w14:val="none"/>
        </w:rPr>
        <w:t xml:space="preserve">Outline the process for </w:t>
      </w:r>
      <w:r w:rsidR="00A73AC1" w:rsidRPr="006C5784">
        <w:rPr>
          <w:rFonts w:ascii="Tahoma" w:eastAsia="MS PGothic" w:hAnsi="Tahoma" w:cs="Tahoma"/>
        </w:rPr>
        <w:t>obtaining</w:t>
      </w:r>
      <w:r w:rsidR="00F45F15" w:rsidRPr="006C5784">
        <w:rPr>
          <w:rFonts w:ascii="Tahoma" w:eastAsia="MS PGothic" w:hAnsi="Tahoma" w:cs="Tahoma"/>
          <w:kern w:val="0"/>
          <w14:ligatures w14:val="none"/>
        </w:rPr>
        <w:t xml:space="preserve"> </w:t>
      </w:r>
      <w:r w:rsidR="00A22912" w:rsidRPr="006C5784">
        <w:rPr>
          <w:rFonts w:ascii="Tahoma" w:eastAsia="MS PGothic" w:hAnsi="Tahoma" w:cs="Tahoma"/>
        </w:rPr>
        <w:t xml:space="preserve">a </w:t>
      </w:r>
      <w:r w:rsidR="00443279" w:rsidRPr="006C5784">
        <w:rPr>
          <w:rFonts w:ascii="Tahoma" w:eastAsia="MS PGothic" w:hAnsi="Tahoma" w:cs="Tahoma"/>
          <w:kern w:val="0"/>
          <w14:ligatures w14:val="none"/>
        </w:rPr>
        <w:t>w</w:t>
      </w:r>
      <w:r w:rsidR="00F45F15" w:rsidRPr="006C5784">
        <w:rPr>
          <w:rFonts w:ascii="Tahoma" w:eastAsia="MS PGothic" w:hAnsi="Tahoma" w:cs="Tahoma"/>
          <w:kern w:val="0"/>
          <w14:ligatures w14:val="none"/>
        </w:rPr>
        <w:t xml:space="preserve">arrant, </w:t>
      </w:r>
      <w:r w:rsidR="00443279" w:rsidRPr="006C5784">
        <w:rPr>
          <w:rFonts w:ascii="Tahoma" w:eastAsia="MS PGothic" w:hAnsi="Tahoma" w:cs="Tahoma"/>
          <w:kern w:val="0"/>
          <w14:ligatures w14:val="none"/>
        </w:rPr>
        <w:t>c</w:t>
      </w:r>
      <w:r w:rsidR="00F45F15" w:rsidRPr="006C5784">
        <w:rPr>
          <w:rFonts w:ascii="Tahoma" w:eastAsia="MS PGothic" w:hAnsi="Tahoma" w:cs="Tahoma"/>
          <w:kern w:val="0"/>
          <w14:ligatures w14:val="none"/>
        </w:rPr>
        <w:t xml:space="preserve">apias, </w:t>
      </w:r>
      <w:r w:rsidR="00443279" w:rsidRPr="006C5784">
        <w:rPr>
          <w:rFonts w:ascii="Tahoma" w:eastAsia="MS PGothic" w:hAnsi="Tahoma" w:cs="Tahoma"/>
          <w:kern w:val="0"/>
          <w14:ligatures w14:val="none"/>
        </w:rPr>
        <w:t>w</w:t>
      </w:r>
      <w:r w:rsidR="00F45F15" w:rsidRPr="006C5784">
        <w:rPr>
          <w:rFonts w:ascii="Tahoma" w:eastAsia="MS PGothic" w:hAnsi="Tahoma" w:cs="Tahoma"/>
          <w:kern w:val="0"/>
          <w14:ligatures w14:val="none"/>
        </w:rPr>
        <w:t xml:space="preserve">rit of </w:t>
      </w:r>
      <w:r w:rsidR="00443279" w:rsidRPr="006C5784">
        <w:rPr>
          <w:rFonts w:ascii="Tahoma" w:eastAsia="MS PGothic" w:hAnsi="Tahoma" w:cs="Tahoma"/>
          <w:kern w:val="0"/>
          <w14:ligatures w14:val="none"/>
        </w:rPr>
        <w:t>b</w:t>
      </w:r>
      <w:r w:rsidR="00F45F15" w:rsidRPr="006C5784">
        <w:rPr>
          <w:rFonts w:ascii="Tahoma" w:eastAsia="MS PGothic" w:hAnsi="Tahoma" w:cs="Tahoma"/>
          <w:kern w:val="0"/>
          <w14:ligatures w14:val="none"/>
        </w:rPr>
        <w:t>od</w:t>
      </w:r>
      <w:r w:rsidR="00443279" w:rsidRPr="006C5784">
        <w:rPr>
          <w:rFonts w:ascii="Tahoma" w:eastAsia="MS PGothic" w:hAnsi="Tahoma" w:cs="Tahoma"/>
          <w:kern w:val="0"/>
          <w14:ligatures w14:val="none"/>
        </w:rPr>
        <w:t xml:space="preserve">y attachment, or similar </w:t>
      </w:r>
      <w:r w:rsidR="00A73AC1" w:rsidRPr="006C5784">
        <w:rPr>
          <w:rFonts w:ascii="Tahoma" w:eastAsia="MS PGothic" w:hAnsi="Tahoma" w:cs="Tahoma"/>
        </w:rPr>
        <w:t>instrument used to</w:t>
      </w:r>
      <w:r w:rsidR="00CF7F95" w:rsidRPr="006C5784">
        <w:rPr>
          <w:rFonts w:ascii="Tahoma" w:eastAsia="MS PGothic" w:hAnsi="Tahoma" w:cs="Tahoma"/>
        </w:rPr>
        <w:t xml:space="preserve"> in your jurisdiction to arrest, detain, or </w:t>
      </w:r>
      <w:r w:rsidR="00CE3C47" w:rsidRPr="006C5784">
        <w:rPr>
          <w:rFonts w:ascii="Tahoma" w:eastAsia="MS PGothic" w:hAnsi="Tahoma" w:cs="Tahoma"/>
        </w:rPr>
        <w:t>hold a victim in custody</w:t>
      </w:r>
      <w:r w:rsidR="00F457C4" w:rsidRPr="006C5784">
        <w:rPr>
          <w:rFonts w:ascii="Tahoma" w:eastAsia="MS PGothic" w:hAnsi="Tahoma" w:cs="Tahoma"/>
        </w:rPr>
        <w:t>, including the process for moving to hold a victim in contempt</w:t>
      </w:r>
      <w:r w:rsidR="00B97C4B" w:rsidRPr="006C5784">
        <w:rPr>
          <w:rFonts w:ascii="Tahoma" w:eastAsia="MS PGothic" w:hAnsi="Tahoma" w:cs="Tahoma"/>
        </w:rPr>
        <w:t xml:space="preserve"> </w:t>
      </w:r>
      <w:r w:rsidR="00A22912" w:rsidRPr="006C5784">
        <w:rPr>
          <w:rFonts w:ascii="Tahoma" w:eastAsia="MS PGothic" w:hAnsi="Tahoma" w:cs="Tahoma"/>
        </w:rPr>
        <w:t>or moving for</w:t>
      </w:r>
      <w:r w:rsidR="00B97C4B" w:rsidRPr="006C5784">
        <w:rPr>
          <w:rFonts w:ascii="Tahoma" w:eastAsia="MS PGothic" w:hAnsi="Tahoma" w:cs="Tahoma"/>
        </w:rPr>
        <w:t xml:space="preserve"> rules to s</w:t>
      </w:r>
      <w:r w:rsidR="005B79F9" w:rsidRPr="006C5784">
        <w:rPr>
          <w:rFonts w:ascii="Tahoma" w:eastAsia="MS PGothic" w:hAnsi="Tahoma" w:cs="Tahoma"/>
        </w:rPr>
        <w:t xml:space="preserve">how cause and material witness petitions, if used in your </w:t>
      </w:r>
      <w:r w:rsidR="00C438B1" w:rsidRPr="006C5784">
        <w:rPr>
          <w:rFonts w:ascii="Tahoma" w:eastAsia="MS PGothic" w:hAnsi="Tahoma" w:cs="Tahoma"/>
        </w:rPr>
        <w:t>jurisdiction</w:t>
      </w:r>
      <w:r w:rsidR="00CE3C47" w:rsidRPr="006C5784">
        <w:rPr>
          <w:rFonts w:ascii="Tahoma" w:eastAsia="MS PGothic" w:hAnsi="Tahoma" w:cs="Tahoma"/>
        </w:rPr>
        <w:t xml:space="preserve">. </w:t>
      </w:r>
      <w:r w:rsidR="002E5E42" w:rsidRPr="006C5784">
        <w:rPr>
          <w:rFonts w:ascii="Tahoma" w:eastAsia="MS PGothic" w:hAnsi="Tahoma" w:cs="Tahoma"/>
        </w:rPr>
        <w:t>Prosecutors should request that</w:t>
      </w:r>
      <w:r w:rsidR="005F4F8D" w:rsidRPr="006C5784">
        <w:rPr>
          <w:rFonts w:ascii="Tahoma" w:eastAsia="MS PGothic" w:hAnsi="Tahoma" w:cs="Tahoma"/>
        </w:rPr>
        <w:t>,</w:t>
      </w:r>
      <w:r w:rsidR="002E5E42" w:rsidRPr="006C5784">
        <w:rPr>
          <w:rFonts w:ascii="Tahoma" w:eastAsia="MS PGothic" w:hAnsi="Tahoma" w:cs="Tahoma"/>
        </w:rPr>
        <w:t xml:space="preserve"> </w:t>
      </w:r>
      <w:r w:rsidR="00D023D3" w:rsidRPr="006C5784">
        <w:rPr>
          <w:rFonts w:ascii="Tahoma" w:eastAsia="MS PGothic" w:hAnsi="Tahoma" w:cs="Tahoma"/>
        </w:rPr>
        <w:t>upon execution</w:t>
      </w:r>
      <w:r w:rsidR="002E163A" w:rsidRPr="006C5784">
        <w:rPr>
          <w:rFonts w:ascii="Tahoma" w:eastAsia="MS PGothic" w:hAnsi="Tahoma" w:cs="Tahoma"/>
        </w:rPr>
        <w:t xml:space="preserve"> of the warrant, writ, etc., courts should impose the</w:t>
      </w:r>
      <w:r w:rsidR="00F5316A" w:rsidRPr="006C5784">
        <w:rPr>
          <w:rFonts w:ascii="Tahoma" w:eastAsia="MS PGothic" w:hAnsi="Tahoma" w:cs="Tahoma"/>
        </w:rPr>
        <w:t xml:space="preserve"> least restrictive conditions necessary to ensure </w:t>
      </w:r>
      <w:r w:rsidR="002E163A" w:rsidRPr="006C5784">
        <w:rPr>
          <w:rFonts w:ascii="Tahoma" w:eastAsia="MS PGothic" w:hAnsi="Tahoma" w:cs="Tahoma"/>
        </w:rPr>
        <w:t>a victim’s</w:t>
      </w:r>
      <w:r w:rsidR="00F5316A" w:rsidRPr="006C5784">
        <w:rPr>
          <w:rFonts w:ascii="Tahoma" w:eastAsia="MS PGothic" w:hAnsi="Tahoma" w:cs="Tahoma"/>
        </w:rPr>
        <w:t xml:space="preserve"> appearance at trial.</w:t>
      </w:r>
    </w:p>
    <w:p w14:paraId="5C995D69" w14:textId="77777777" w:rsidR="00C438B1" w:rsidRPr="006C5784" w:rsidRDefault="00C438B1" w:rsidP="00321302">
      <w:pPr>
        <w:tabs>
          <w:tab w:val="left" w:pos="0"/>
        </w:tabs>
        <w:spacing w:after="0" w:line="240" w:lineRule="auto"/>
        <w:rPr>
          <w:rFonts w:ascii="Tahoma" w:eastAsia="MS PGothic" w:hAnsi="Tahoma" w:cs="Tahoma"/>
          <w:kern w:val="0"/>
          <w14:ligatures w14:val="none"/>
        </w:rPr>
      </w:pPr>
    </w:p>
    <w:p w14:paraId="2DB69A1B" w14:textId="3453F4D7" w:rsidR="00A41716" w:rsidRPr="006C5784" w:rsidRDefault="00CE3C47" w:rsidP="00321302">
      <w:pPr>
        <w:tabs>
          <w:tab w:val="left" w:pos="0"/>
        </w:tabs>
        <w:spacing w:after="0" w:line="240" w:lineRule="auto"/>
        <w:rPr>
          <w:rFonts w:ascii="Tahoma" w:eastAsia="MS PGothic" w:hAnsi="Tahoma" w:cs="Tahoma"/>
          <w:i/>
          <w:iCs/>
          <w:kern w:val="0"/>
          <w:u w:val="single"/>
          <w14:ligatures w14:val="none"/>
        </w:rPr>
      </w:pPr>
      <w:r w:rsidRPr="006C5784">
        <w:rPr>
          <w:rFonts w:ascii="Tahoma" w:eastAsia="MS PGothic" w:hAnsi="Tahoma" w:cs="Tahoma"/>
          <w:kern w:val="0"/>
          <w14:ligatures w14:val="none"/>
        </w:rPr>
        <w:t>This section should also include</w:t>
      </w:r>
      <w:r w:rsidR="00EA14B2" w:rsidRPr="006C5784">
        <w:rPr>
          <w:rFonts w:ascii="Tahoma" w:eastAsia="MS PGothic" w:hAnsi="Tahoma" w:cs="Tahoma"/>
          <w:kern w:val="0"/>
          <w14:ligatures w14:val="none"/>
        </w:rPr>
        <w:t xml:space="preserve"> matters</w:t>
      </w:r>
      <w:r w:rsidR="00955C2A" w:rsidRPr="006C5784">
        <w:rPr>
          <w:rFonts w:ascii="Tahoma" w:eastAsia="MS PGothic" w:hAnsi="Tahoma" w:cs="Tahoma"/>
          <w:kern w:val="0"/>
          <w14:ligatures w14:val="none"/>
        </w:rPr>
        <w:t xml:space="preserve"> for the court’s consideration, including but not limited to</w:t>
      </w:r>
      <w:r w:rsidR="002525F6" w:rsidRPr="006C5784">
        <w:rPr>
          <w:rFonts w:ascii="Tahoma" w:eastAsia="MS PGothic" w:hAnsi="Tahoma" w:cs="Tahoma"/>
          <w:kern w:val="0"/>
          <w14:ligatures w14:val="none"/>
        </w:rPr>
        <w:t xml:space="preserve">: </w:t>
      </w:r>
      <w:r w:rsidR="005B09CB" w:rsidRPr="006C5784">
        <w:rPr>
          <w:rFonts w:ascii="Tahoma" w:eastAsia="MS PGothic" w:hAnsi="Tahoma" w:cs="Tahoma"/>
          <w:kern w:val="0"/>
          <w14:ligatures w14:val="none"/>
        </w:rPr>
        <w:t>the process</w:t>
      </w:r>
      <w:r w:rsidR="00A61820" w:rsidRPr="006C5784">
        <w:rPr>
          <w:rFonts w:ascii="Tahoma" w:eastAsia="MS PGothic" w:hAnsi="Tahoma" w:cs="Tahoma"/>
          <w:kern w:val="0"/>
          <w14:ligatures w14:val="none"/>
        </w:rPr>
        <w:t xml:space="preserve"> for obtaining legal counsel for</w:t>
      </w:r>
      <w:r w:rsidR="00C84E6B">
        <w:rPr>
          <w:rFonts w:ascii="Tahoma" w:eastAsia="MS PGothic" w:hAnsi="Tahoma" w:cs="Tahoma"/>
          <w:kern w:val="0"/>
          <w14:ligatures w14:val="none"/>
        </w:rPr>
        <w:t xml:space="preserve"> the</w:t>
      </w:r>
      <w:r w:rsidR="00A61820" w:rsidRPr="006C5784">
        <w:rPr>
          <w:rFonts w:ascii="Tahoma" w:eastAsia="MS PGothic" w:hAnsi="Tahoma" w:cs="Tahoma"/>
          <w:kern w:val="0"/>
          <w14:ligatures w14:val="none"/>
        </w:rPr>
        <w:t xml:space="preserve"> victim</w:t>
      </w:r>
      <w:r w:rsidR="002347A2" w:rsidRPr="006C5784">
        <w:rPr>
          <w:rFonts w:ascii="Tahoma" w:eastAsia="MS PGothic" w:hAnsi="Tahoma" w:cs="Tahoma"/>
          <w:kern w:val="0"/>
          <w14:ligatures w14:val="none"/>
        </w:rPr>
        <w:t xml:space="preserve">; </w:t>
      </w:r>
      <w:r w:rsidR="005645BD" w:rsidRPr="006C5784">
        <w:rPr>
          <w:rFonts w:ascii="Tahoma" w:eastAsia="MS PGothic" w:hAnsi="Tahoma" w:cs="Tahoma"/>
          <w:kern w:val="0"/>
          <w14:ligatures w14:val="none"/>
        </w:rPr>
        <w:t xml:space="preserve">asking the court that </w:t>
      </w:r>
      <w:r w:rsidR="00C84E6B">
        <w:rPr>
          <w:rFonts w:ascii="Tahoma" w:eastAsia="MS PGothic" w:hAnsi="Tahoma" w:cs="Tahoma"/>
          <w:kern w:val="0"/>
          <w14:ligatures w14:val="none"/>
        </w:rPr>
        <w:t xml:space="preserve">the </w:t>
      </w:r>
      <w:r w:rsidR="00450594" w:rsidRPr="006C5784">
        <w:rPr>
          <w:rFonts w:ascii="Tahoma" w:eastAsia="MS PGothic" w:hAnsi="Tahoma" w:cs="Tahoma"/>
          <w:kern w:val="0"/>
          <w14:ligatures w14:val="none"/>
        </w:rPr>
        <w:t>victim be taken into custody</w:t>
      </w:r>
      <w:r w:rsidR="000146C4" w:rsidRPr="006C5784">
        <w:rPr>
          <w:rFonts w:ascii="Tahoma" w:eastAsia="MS PGothic" w:hAnsi="Tahoma" w:cs="Tahoma"/>
          <w:kern w:val="0"/>
          <w14:ligatures w14:val="none"/>
        </w:rPr>
        <w:t xml:space="preserve"> without the use of handcuffs or similar restraints, if possible</w:t>
      </w:r>
      <w:r w:rsidR="005645BD" w:rsidRPr="006C5784">
        <w:rPr>
          <w:rFonts w:ascii="Tahoma" w:eastAsia="MS PGothic" w:hAnsi="Tahoma" w:cs="Tahoma"/>
          <w:kern w:val="0"/>
          <w14:ligatures w14:val="none"/>
        </w:rPr>
        <w:t>;</w:t>
      </w:r>
      <w:r w:rsidR="00BB701E" w:rsidRPr="006C5784">
        <w:rPr>
          <w:rFonts w:ascii="Tahoma" w:eastAsia="MS PGothic" w:hAnsi="Tahoma" w:cs="Tahoma"/>
          <w:kern w:val="0"/>
          <w14:ligatures w14:val="none"/>
        </w:rPr>
        <w:t xml:space="preserve"> and</w:t>
      </w:r>
      <w:r w:rsidR="005645BD" w:rsidRPr="006C5784">
        <w:rPr>
          <w:rFonts w:ascii="Tahoma" w:eastAsia="MS PGothic" w:hAnsi="Tahoma" w:cs="Tahoma"/>
          <w:kern w:val="0"/>
          <w14:ligatures w14:val="none"/>
        </w:rPr>
        <w:t xml:space="preserve"> educating the court about the nature of the case and that the victim be permitted to testi</w:t>
      </w:r>
      <w:r w:rsidR="00BB701E" w:rsidRPr="006C5784">
        <w:rPr>
          <w:rFonts w:ascii="Tahoma" w:eastAsia="MS PGothic" w:hAnsi="Tahoma" w:cs="Tahoma"/>
          <w:kern w:val="0"/>
          <w14:ligatures w14:val="none"/>
        </w:rPr>
        <w:t>fy</w:t>
      </w:r>
      <w:r w:rsidR="005645BD" w:rsidRPr="006C5784">
        <w:rPr>
          <w:rFonts w:ascii="Tahoma" w:eastAsia="MS PGothic" w:hAnsi="Tahoma" w:cs="Tahoma"/>
          <w:kern w:val="0"/>
          <w14:ligatures w14:val="none"/>
        </w:rPr>
        <w:t xml:space="preserve"> soon after </w:t>
      </w:r>
      <w:r w:rsidR="002C74DE" w:rsidRPr="006C5784">
        <w:rPr>
          <w:rFonts w:ascii="Tahoma" w:eastAsia="MS PGothic" w:hAnsi="Tahoma" w:cs="Tahoma"/>
          <w:kern w:val="0"/>
          <w14:ligatures w14:val="none"/>
        </w:rPr>
        <w:t>the victim is arrested, detained, or taken into custody</w:t>
      </w:r>
      <w:r w:rsidR="005645BD" w:rsidRPr="006C5784">
        <w:rPr>
          <w:rFonts w:ascii="Tahoma" w:eastAsia="MS PGothic" w:hAnsi="Tahoma" w:cs="Tahoma"/>
          <w:i/>
          <w:iCs/>
          <w:kern w:val="0"/>
          <w14:ligatures w14:val="none"/>
        </w:rPr>
        <w:t>.</w:t>
      </w:r>
      <w:r w:rsidR="00B63FFE" w:rsidRPr="006C5784">
        <w:rPr>
          <w:rFonts w:ascii="Tahoma" w:eastAsia="MS PGothic" w:hAnsi="Tahoma" w:cs="Tahoma"/>
          <w:kern w:val="0"/>
          <w14:ligatures w14:val="none"/>
        </w:rPr>
        <w:t>]</w:t>
      </w:r>
    </w:p>
    <w:p w14:paraId="2972EA04" w14:textId="55A1F70B" w:rsidR="00F02406" w:rsidRPr="006C5784" w:rsidRDefault="00F02406" w:rsidP="00F02406">
      <w:pPr>
        <w:tabs>
          <w:tab w:val="left" w:pos="0"/>
        </w:tabs>
        <w:spacing w:after="0" w:line="240" w:lineRule="auto"/>
        <w:rPr>
          <w:rFonts w:ascii="Tahoma" w:eastAsia="MS PGothic" w:hAnsi="Tahoma" w:cs="Tahoma"/>
          <w:kern w:val="0"/>
          <w:u w:val="single"/>
          <w14:ligatures w14:val="none"/>
        </w:rPr>
      </w:pPr>
    </w:p>
    <w:p w14:paraId="02590E3C" w14:textId="478BFCB9" w:rsidR="00277370" w:rsidRPr="006C5784" w:rsidRDefault="002F54DF" w:rsidP="00751E58">
      <w:pPr>
        <w:pStyle w:val="ListParagraph"/>
        <w:numPr>
          <w:ilvl w:val="0"/>
          <w:numId w:val="4"/>
        </w:numPr>
        <w:tabs>
          <w:tab w:val="left" w:pos="0"/>
        </w:tabs>
        <w:spacing w:after="0" w:line="240" w:lineRule="auto"/>
        <w:rPr>
          <w:rFonts w:ascii="Tahoma" w:eastAsia="MS PGothic" w:hAnsi="Tahoma" w:cs="Tahoma"/>
          <w:kern w:val="0"/>
          <w:u w:val="single"/>
          <w14:ligatures w14:val="none"/>
        </w:rPr>
      </w:pPr>
      <w:r w:rsidRPr="006C5784">
        <w:rPr>
          <w:rFonts w:ascii="Tahoma" w:eastAsia="MS PGothic" w:hAnsi="Tahoma" w:cs="Tahoma"/>
          <w:kern w:val="0"/>
          <w:u w:val="single"/>
          <w14:ligatures w14:val="none"/>
        </w:rPr>
        <w:t xml:space="preserve">Prosecutor’s Obligations Upon </w:t>
      </w:r>
      <w:r w:rsidR="003876A2" w:rsidRPr="006C5784">
        <w:rPr>
          <w:rFonts w:ascii="Tahoma" w:eastAsia="MS PGothic" w:hAnsi="Tahoma" w:cs="Tahoma"/>
          <w:kern w:val="0"/>
          <w:u w:val="single"/>
          <w14:ligatures w14:val="none"/>
        </w:rPr>
        <w:t>Arrest</w:t>
      </w:r>
      <w:r w:rsidR="003678EB" w:rsidRPr="006C5784">
        <w:rPr>
          <w:rFonts w:ascii="Tahoma" w:eastAsia="MS PGothic" w:hAnsi="Tahoma" w:cs="Tahoma"/>
          <w:kern w:val="0"/>
          <w:u w:val="single"/>
          <w14:ligatures w14:val="none"/>
        </w:rPr>
        <w:t>, Detention, or Holding</w:t>
      </w:r>
      <w:r w:rsidR="003876A2" w:rsidRPr="006C5784">
        <w:rPr>
          <w:rFonts w:ascii="Tahoma" w:eastAsia="MS PGothic" w:hAnsi="Tahoma" w:cs="Tahoma"/>
          <w:kern w:val="0"/>
          <w:u w:val="single"/>
          <w14:ligatures w14:val="none"/>
        </w:rPr>
        <w:t xml:space="preserve"> the Victim</w:t>
      </w:r>
      <w:r w:rsidR="003678EB" w:rsidRPr="006C5784">
        <w:rPr>
          <w:rFonts w:ascii="Tahoma" w:eastAsia="MS PGothic" w:hAnsi="Tahoma" w:cs="Tahoma"/>
          <w:kern w:val="0"/>
          <w:u w:val="single"/>
          <w14:ligatures w14:val="none"/>
        </w:rPr>
        <w:t xml:space="preserve"> in Custody</w:t>
      </w:r>
    </w:p>
    <w:p w14:paraId="570F97CD" w14:textId="77777777" w:rsidR="00353758" w:rsidRPr="006C5784" w:rsidRDefault="00353758" w:rsidP="00353758">
      <w:pPr>
        <w:pStyle w:val="ListParagraph"/>
        <w:tabs>
          <w:tab w:val="left" w:pos="0"/>
        </w:tabs>
        <w:spacing w:after="0" w:line="240" w:lineRule="auto"/>
        <w:rPr>
          <w:rFonts w:ascii="Tahoma" w:eastAsia="MS PGothic" w:hAnsi="Tahoma" w:cs="Tahoma"/>
          <w:kern w:val="0"/>
          <w:u w:val="single"/>
          <w14:ligatures w14:val="none"/>
        </w:rPr>
      </w:pPr>
    </w:p>
    <w:p w14:paraId="590C42C5" w14:textId="517D4B32" w:rsidR="003102BA" w:rsidRPr="006C5784" w:rsidRDefault="00AB61FF" w:rsidP="003102BA">
      <w:pPr>
        <w:tabs>
          <w:tab w:val="left" w:pos="0"/>
        </w:tabs>
        <w:spacing w:after="0" w:line="240" w:lineRule="auto"/>
        <w:rPr>
          <w:rFonts w:ascii="Tahoma" w:eastAsia="MS PGothic" w:hAnsi="Tahoma" w:cs="Tahoma"/>
          <w:kern w:val="0"/>
          <w14:ligatures w14:val="none"/>
        </w:rPr>
      </w:pPr>
      <w:r w:rsidRPr="006C5784">
        <w:rPr>
          <w:rFonts w:ascii="Tahoma" w:eastAsia="MS PGothic" w:hAnsi="Tahoma" w:cs="Tahoma"/>
          <w:kern w:val="0"/>
          <w14:ligatures w14:val="none"/>
        </w:rPr>
        <w:t>Upon arrest</w:t>
      </w:r>
      <w:r w:rsidR="003678EB" w:rsidRPr="006C5784">
        <w:rPr>
          <w:rFonts w:ascii="Tahoma" w:eastAsia="MS PGothic" w:hAnsi="Tahoma" w:cs="Tahoma"/>
          <w:kern w:val="0"/>
          <w14:ligatures w14:val="none"/>
        </w:rPr>
        <w:t>, detention, or holding</w:t>
      </w:r>
      <w:r w:rsidRPr="006C5784">
        <w:rPr>
          <w:rFonts w:ascii="Tahoma" w:eastAsia="MS PGothic" w:hAnsi="Tahoma" w:cs="Tahoma"/>
          <w:kern w:val="0"/>
          <w14:ligatures w14:val="none"/>
        </w:rPr>
        <w:t xml:space="preserve"> the victim</w:t>
      </w:r>
      <w:r w:rsidR="003678EB" w:rsidRPr="006C5784">
        <w:rPr>
          <w:rFonts w:ascii="Tahoma" w:eastAsia="MS PGothic" w:hAnsi="Tahoma" w:cs="Tahoma"/>
          <w:kern w:val="0"/>
          <w14:ligatures w14:val="none"/>
        </w:rPr>
        <w:t xml:space="preserve"> in custody</w:t>
      </w:r>
      <w:r w:rsidRPr="006C5784">
        <w:rPr>
          <w:rFonts w:ascii="Tahoma" w:eastAsia="MS PGothic" w:hAnsi="Tahoma" w:cs="Tahoma"/>
          <w:kern w:val="0"/>
          <w14:ligatures w14:val="none"/>
        </w:rPr>
        <w:t>,</w:t>
      </w:r>
      <w:r w:rsidR="0039141A" w:rsidRPr="006C5784">
        <w:rPr>
          <w:rFonts w:ascii="Tahoma" w:eastAsia="MS PGothic" w:hAnsi="Tahoma" w:cs="Tahoma"/>
          <w:kern w:val="0"/>
          <w14:ligatures w14:val="none"/>
        </w:rPr>
        <w:t xml:space="preserve"> the prosecutor </w:t>
      </w:r>
      <w:r w:rsidR="003102BA" w:rsidRPr="006C5784">
        <w:rPr>
          <w:rFonts w:ascii="Tahoma" w:eastAsia="MS PGothic" w:hAnsi="Tahoma" w:cs="Tahoma"/>
          <w:kern w:val="0"/>
          <w14:ligatures w14:val="none"/>
        </w:rPr>
        <w:t>must do the following:</w:t>
      </w:r>
    </w:p>
    <w:p w14:paraId="5D26F07B" w14:textId="77777777" w:rsidR="003102BA" w:rsidRPr="006C5784" w:rsidRDefault="003102BA" w:rsidP="003102BA">
      <w:pPr>
        <w:tabs>
          <w:tab w:val="left" w:pos="0"/>
        </w:tabs>
        <w:spacing w:after="0" w:line="240" w:lineRule="auto"/>
        <w:rPr>
          <w:rFonts w:ascii="Tahoma" w:eastAsia="MS PGothic" w:hAnsi="Tahoma" w:cs="Tahoma"/>
          <w:kern w:val="0"/>
          <w14:ligatures w14:val="none"/>
        </w:rPr>
      </w:pPr>
    </w:p>
    <w:p w14:paraId="3FC1E7F0" w14:textId="1D43BDF9" w:rsidR="002347A2" w:rsidRPr="006C5784" w:rsidRDefault="00F02406" w:rsidP="005645BD">
      <w:pPr>
        <w:pStyle w:val="ListParagraph"/>
        <w:numPr>
          <w:ilvl w:val="0"/>
          <w:numId w:val="8"/>
        </w:numPr>
        <w:tabs>
          <w:tab w:val="left" w:pos="0"/>
        </w:tabs>
        <w:spacing w:after="0" w:line="240" w:lineRule="auto"/>
        <w:rPr>
          <w:rFonts w:ascii="Tahoma" w:eastAsia="MS PGothic" w:hAnsi="Tahoma" w:cs="Tahoma"/>
          <w:kern w:val="0"/>
          <w14:ligatures w14:val="none"/>
        </w:rPr>
      </w:pPr>
      <w:r w:rsidRPr="006C5784">
        <w:rPr>
          <w:rFonts w:ascii="Tahoma" w:eastAsia="MS PGothic" w:hAnsi="Tahoma" w:cs="Tahoma"/>
          <w:kern w:val="0"/>
          <w14:ligatures w14:val="none"/>
        </w:rPr>
        <w:t xml:space="preserve">Ensure that when authorities </w:t>
      </w:r>
      <w:r w:rsidR="00B63FFE" w:rsidRPr="006C5784">
        <w:rPr>
          <w:rFonts w:ascii="Tahoma" w:eastAsia="MS PGothic" w:hAnsi="Tahoma" w:cs="Tahoma"/>
          <w:kern w:val="0"/>
          <w14:ligatures w14:val="none"/>
        </w:rPr>
        <w:t xml:space="preserve">arrest, </w:t>
      </w:r>
      <w:r w:rsidRPr="006C5784">
        <w:rPr>
          <w:rFonts w:ascii="Tahoma" w:eastAsia="MS PGothic" w:hAnsi="Tahoma" w:cs="Tahoma"/>
          <w:kern w:val="0"/>
          <w14:ligatures w14:val="none"/>
        </w:rPr>
        <w:t>detain</w:t>
      </w:r>
      <w:r w:rsidR="00B63FFE" w:rsidRPr="006C5784">
        <w:rPr>
          <w:rFonts w:ascii="Tahoma" w:eastAsia="MS PGothic" w:hAnsi="Tahoma" w:cs="Tahoma"/>
          <w:kern w:val="0"/>
          <w14:ligatures w14:val="none"/>
        </w:rPr>
        <w:t>, or take a victim into custody</w:t>
      </w:r>
      <w:r w:rsidR="002347A2" w:rsidRPr="006C5784">
        <w:rPr>
          <w:rFonts w:ascii="Tahoma" w:eastAsia="MS PGothic" w:hAnsi="Tahoma" w:cs="Tahoma"/>
          <w:kern w:val="0"/>
          <w14:ligatures w14:val="none"/>
        </w:rPr>
        <w:t xml:space="preserve"> </w:t>
      </w:r>
      <w:r w:rsidR="00B63FFE" w:rsidRPr="006C5784">
        <w:rPr>
          <w:rFonts w:ascii="Tahoma" w:eastAsia="MS PGothic" w:hAnsi="Tahoma" w:cs="Tahoma"/>
          <w:kern w:val="0"/>
          <w14:ligatures w14:val="none"/>
        </w:rPr>
        <w:t>that</w:t>
      </w:r>
      <w:r w:rsidR="002347A2" w:rsidRPr="006C5784">
        <w:rPr>
          <w:rFonts w:ascii="Tahoma" w:eastAsia="MS PGothic" w:hAnsi="Tahoma" w:cs="Tahoma"/>
          <w:kern w:val="0"/>
          <w14:ligatures w14:val="none"/>
        </w:rPr>
        <w:t xml:space="preserve"> </w:t>
      </w:r>
      <w:r w:rsidRPr="006C5784">
        <w:rPr>
          <w:rFonts w:ascii="Tahoma" w:eastAsia="MS PGothic" w:hAnsi="Tahoma" w:cs="Tahoma"/>
          <w:kern w:val="0"/>
          <w14:ligatures w14:val="none"/>
        </w:rPr>
        <w:t>they do so in manner that does not unnecessarily embarrass or re-traumatize the victim. Victims should not be detained at their place of work, in front of their children, or during hours when they cannot be immediately</w:t>
      </w:r>
      <w:r w:rsidR="002347A2" w:rsidRPr="006C5784">
        <w:rPr>
          <w:rFonts w:ascii="Tahoma" w:eastAsia="MS PGothic" w:hAnsi="Tahoma" w:cs="Tahoma"/>
          <w:kern w:val="0"/>
          <w14:ligatures w14:val="none"/>
        </w:rPr>
        <w:t xml:space="preserve"> brought before the court.</w:t>
      </w:r>
    </w:p>
    <w:p w14:paraId="77CABC55" w14:textId="77777777" w:rsidR="002347A2" w:rsidRPr="006C5784" w:rsidRDefault="002347A2" w:rsidP="002347A2">
      <w:pPr>
        <w:tabs>
          <w:tab w:val="left" w:pos="0"/>
        </w:tabs>
        <w:spacing w:after="0" w:line="240" w:lineRule="auto"/>
        <w:rPr>
          <w:rFonts w:ascii="Tahoma" w:eastAsia="MS PGothic" w:hAnsi="Tahoma" w:cs="Tahoma"/>
          <w:kern w:val="0"/>
          <w14:ligatures w14:val="none"/>
        </w:rPr>
      </w:pPr>
    </w:p>
    <w:p w14:paraId="25F25EB0" w14:textId="03F8FF2A" w:rsidR="007F3248" w:rsidRPr="006C5784" w:rsidRDefault="003102BA" w:rsidP="00A61820">
      <w:pPr>
        <w:pStyle w:val="ListParagraph"/>
        <w:numPr>
          <w:ilvl w:val="0"/>
          <w:numId w:val="8"/>
        </w:numPr>
        <w:tabs>
          <w:tab w:val="left" w:pos="0"/>
        </w:tabs>
        <w:spacing w:after="0" w:line="240" w:lineRule="auto"/>
        <w:rPr>
          <w:rFonts w:ascii="Tahoma" w:eastAsia="MS PGothic" w:hAnsi="Tahoma" w:cs="Tahoma"/>
          <w:kern w:val="0"/>
          <w14:ligatures w14:val="none"/>
        </w:rPr>
      </w:pPr>
      <w:r w:rsidRPr="006C5784">
        <w:rPr>
          <w:rFonts w:ascii="Tahoma" w:eastAsia="MS PGothic" w:hAnsi="Tahoma" w:cs="Tahoma"/>
          <w:kern w:val="0"/>
          <w14:ligatures w14:val="none"/>
        </w:rPr>
        <w:t xml:space="preserve">Ensure that </w:t>
      </w:r>
      <w:r w:rsidR="002A78D9" w:rsidRPr="006C5784">
        <w:rPr>
          <w:rFonts w:ascii="Tahoma" w:eastAsia="MS PGothic" w:hAnsi="Tahoma" w:cs="Tahoma"/>
          <w:kern w:val="0"/>
          <w14:ligatures w14:val="none"/>
        </w:rPr>
        <w:t xml:space="preserve">a </w:t>
      </w:r>
      <w:r w:rsidRPr="006C5784">
        <w:rPr>
          <w:rFonts w:ascii="Tahoma" w:eastAsia="MS PGothic" w:hAnsi="Tahoma" w:cs="Tahoma"/>
          <w:kern w:val="0"/>
          <w14:ligatures w14:val="none"/>
        </w:rPr>
        <w:t xml:space="preserve">victim is not held, detained, or housed </w:t>
      </w:r>
      <w:r w:rsidR="00CF276A" w:rsidRPr="006C5784">
        <w:rPr>
          <w:rFonts w:ascii="Tahoma" w:eastAsia="MS PGothic" w:hAnsi="Tahoma" w:cs="Tahoma"/>
          <w:kern w:val="0"/>
          <w14:ligatures w14:val="none"/>
        </w:rPr>
        <w:t>among general population with individuals charged with crimes</w:t>
      </w:r>
      <w:r w:rsidR="00121336" w:rsidRPr="006C5784">
        <w:rPr>
          <w:rFonts w:ascii="Tahoma" w:eastAsia="MS PGothic" w:hAnsi="Tahoma" w:cs="Tahoma"/>
          <w:kern w:val="0"/>
          <w14:ligatures w14:val="none"/>
        </w:rPr>
        <w:t>,</w:t>
      </w:r>
      <w:r w:rsidR="00CF276A" w:rsidRPr="006C5784">
        <w:rPr>
          <w:rFonts w:ascii="Tahoma" w:eastAsia="MS PGothic" w:hAnsi="Tahoma" w:cs="Tahoma"/>
          <w:kern w:val="0"/>
          <w14:ligatures w14:val="none"/>
        </w:rPr>
        <w:t xml:space="preserve"> or </w:t>
      </w:r>
      <w:r w:rsidRPr="006C5784">
        <w:rPr>
          <w:rFonts w:ascii="Tahoma" w:eastAsia="MS PGothic" w:hAnsi="Tahoma" w:cs="Tahoma"/>
          <w:kern w:val="0"/>
          <w14:ligatures w14:val="none"/>
        </w:rPr>
        <w:t>within eyesight or earshot of the defendant</w:t>
      </w:r>
      <w:r w:rsidR="00A61820" w:rsidRPr="006C5784">
        <w:rPr>
          <w:rFonts w:ascii="Tahoma" w:eastAsia="MS PGothic" w:hAnsi="Tahoma" w:cs="Tahoma"/>
          <w:kern w:val="0"/>
          <w14:ligatures w14:val="none"/>
        </w:rPr>
        <w:t>, and e</w:t>
      </w:r>
      <w:r w:rsidR="007F3248" w:rsidRPr="006C5784">
        <w:rPr>
          <w:rFonts w:ascii="Tahoma" w:eastAsia="MS PGothic" w:hAnsi="Tahoma" w:cs="Tahoma"/>
          <w:kern w:val="0"/>
          <w14:ligatures w14:val="none"/>
        </w:rPr>
        <w:t>nsure that the victim is not transported to the courtroom with the defendant</w:t>
      </w:r>
      <w:r w:rsidR="003A2FC0" w:rsidRPr="006C5784">
        <w:rPr>
          <w:rFonts w:ascii="Tahoma" w:eastAsia="MS PGothic" w:hAnsi="Tahoma" w:cs="Tahoma"/>
          <w:kern w:val="0"/>
          <w14:ligatures w14:val="none"/>
        </w:rPr>
        <w:t>.</w:t>
      </w:r>
    </w:p>
    <w:p w14:paraId="3846C71A" w14:textId="77777777" w:rsidR="007F3248" w:rsidRPr="006C5784" w:rsidRDefault="007F3248" w:rsidP="007F3248">
      <w:pPr>
        <w:pStyle w:val="ListParagraph"/>
        <w:rPr>
          <w:rFonts w:ascii="Tahoma" w:eastAsia="MS PGothic" w:hAnsi="Tahoma" w:cs="Tahoma"/>
          <w:kern w:val="0"/>
          <w14:ligatures w14:val="none"/>
        </w:rPr>
      </w:pPr>
    </w:p>
    <w:p w14:paraId="7C4AF9F3" w14:textId="251A0DB8" w:rsidR="00353758" w:rsidRPr="006C5784" w:rsidRDefault="002F3A0E" w:rsidP="002F3A0E">
      <w:pPr>
        <w:pStyle w:val="ListParagraph"/>
        <w:numPr>
          <w:ilvl w:val="0"/>
          <w:numId w:val="8"/>
        </w:numPr>
        <w:tabs>
          <w:tab w:val="left" w:pos="0"/>
        </w:tabs>
        <w:spacing w:after="0" w:line="240" w:lineRule="auto"/>
        <w:rPr>
          <w:rFonts w:ascii="Tahoma" w:eastAsia="MS PGothic" w:hAnsi="Tahoma" w:cs="Tahoma"/>
          <w:kern w:val="0"/>
          <w14:ligatures w14:val="none"/>
        </w:rPr>
      </w:pPr>
      <w:r w:rsidRPr="006C5784">
        <w:rPr>
          <w:rFonts w:ascii="Tahoma" w:eastAsia="MS PGothic" w:hAnsi="Tahoma" w:cs="Tahoma"/>
          <w:kern w:val="0"/>
          <w14:ligatures w14:val="none"/>
        </w:rPr>
        <w:lastRenderedPageBreak/>
        <w:t>I</w:t>
      </w:r>
      <w:r w:rsidR="00B824DD" w:rsidRPr="006C5784">
        <w:rPr>
          <w:rFonts w:ascii="Tahoma" w:eastAsia="MS PGothic" w:hAnsi="Tahoma" w:cs="Tahoma"/>
          <w:kern w:val="0"/>
          <w14:ligatures w14:val="none"/>
        </w:rPr>
        <w:t>mmediately meet with the victim</w:t>
      </w:r>
      <w:r w:rsidRPr="006C5784">
        <w:rPr>
          <w:rFonts w:ascii="Tahoma" w:eastAsia="MS PGothic" w:hAnsi="Tahoma" w:cs="Tahoma"/>
          <w:kern w:val="0"/>
          <w14:ligatures w14:val="none"/>
        </w:rPr>
        <w:t>, along with</w:t>
      </w:r>
      <w:r w:rsidR="005645BD" w:rsidRPr="006C5784">
        <w:rPr>
          <w:rFonts w:ascii="Tahoma" w:eastAsia="MS PGothic" w:hAnsi="Tahoma" w:cs="Tahoma"/>
          <w:kern w:val="0"/>
          <w14:ligatures w14:val="none"/>
        </w:rPr>
        <w:t xml:space="preserve"> </w:t>
      </w:r>
      <w:r w:rsidR="00F62495" w:rsidRPr="006C5784">
        <w:rPr>
          <w:rFonts w:ascii="Tahoma" w:eastAsia="MS PGothic" w:hAnsi="Tahoma" w:cs="Tahoma"/>
          <w:kern w:val="0"/>
          <w14:ligatures w14:val="none"/>
        </w:rPr>
        <w:t xml:space="preserve">a victim </w:t>
      </w:r>
      <w:r w:rsidR="005645BD" w:rsidRPr="006C5784">
        <w:rPr>
          <w:rFonts w:ascii="Tahoma" w:eastAsia="MS PGothic" w:hAnsi="Tahoma" w:cs="Tahoma"/>
          <w:kern w:val="0"/>
          <w14:ligatures w14:val="none"/>
        </w:rPr>
        <w:t xml:space="preserve">advocate and/or </w:t>
      </w:r>
      <w:r w:rsidR="00F62495" w:rsidRPr="006C5784">
        <w:rPr>
          <w:rFonts w:ascii="Tahoma" w:eastAsia="MS PGothic" w:hAnsi="Tahoma" w:cs="Tahoma"/>
          <w:kern w:val="0"/>
          <w14:ligatures w14:val="none"/>
        </w:rPr>
        <w:t>an investigator</w:t>
      </w:r>
      <w:r w:rsidR="002A78D9" w:rsidRPr="006C5784">
        <w:rPr>
          <w:rFonts w:ascii="Tahoma" w:eastAsia="MS PGothic" w:hAnsi="Tahoma" w:cs="Tahoma"/>
          <w:kern w:val="0"/>
          <w14:ligatures w14:val="none"/>
        </w:rPr>
        <w:t>,</w:t>
      </w:r>
      <w:r w:rsidR="00F62495" w:rsidRPr="006C5784">
        <w:rPr>
          <w:rFonts w:ascii="Tahoma" w:eastAsia="MS PGothic" w:hAnsi="Tahoma" w:cs="Tahoma"/>
          <w:kern w:val="0"/>
          <w14:ligatures w14:val="none"/>
        </w:rPr>
        <w:t xml:space="preserve"> to explain why the victim’s arrest</w:t>
      </w:r>
      <w:r w:rsidR="00121336" w:rsidRPr="006C5784">
        <w:rPr>
          <w:rFonts w:ascii="Tahoma" w:eastAsia="MS PGothic" w:hAnsi="Tahoma" w:cs="Tahoma"/>
          <w:kern w:val="0"/>
          <w14:ligatures w14:val="none"/>
        </w:rPr>
        <w:t xml:space="preserve"> or detention</w:t>
      </w:r>
      <w:r w:rsidR="00F62495" w:rsidRPr="006C5784">
        <w:rPr>
          <w:rFonts w:ascii="Tahoma" w:eastAsia="MS PGothic" w:hAnsi="Tahoma" w:cs="Tahoma"/>
          <w:kern w:val="0"/>
          <w14:ligatures w14:val="none"/>
        </w:rPr>
        <w:t xml:space="preserve"> was necessary</w:t>
      </w:r>
      <w:r w:rsidR="008C4AEE" w:rsidRPr="006C5784">
        <w:rPr>
          <w:rFonts w:ascii="Tahoma" w:eastAsia="MS PGothic" w:hAnsi="Tahoma" w:cs="Tahoma"/>
          <w:kern w:val="0"/>
          <w14:ligatures w14:val="none"/>
        </w:rPr>
        <w:t>, including the prosecutor’s o</w:t>
      </w:r>
      <w:r w:rsidR="006F43B7" w:rsidRPr="006C5784">
        <w:rPr>
          <w:rFonts w:ascii="Tahoma" w:eastAsia="MS PGothic" w:hAnsi="Tahoma" w:cs="Tahoma"/>
          <w:kern w:val="0"/>
          <w14:ligatures w14:val="none"/>
        </w:rPr>
        <w:t xml:space="preserve">bligation to the safety of the community. Prosecutors must </w:t>
      </w:r>
      <w:r w:rsidR="003E5670" w:rsidRPr="006C5784">
        <w:rPr>
          <w:rFonts w:ascii="Tahoma" w:eastAsia="MS PGothic" w:hAnsi="Tahoma" w:cs="Tahoma"/>
          <w:kern w:val="0"/>
          <w14:ligatures w14:val="none"/>
        </w:rPr>
        <w:t>also explain that they plan to expedite the victim’s testimony so that the</w:t>
      </w:r>
      <w:r w:rsidR="003934AB" w:rsidRPr="006C5784">
        <w:rPr>
          <w:rFonts w:ascii="Tahoma" w:eastAsia="MS PGothic" w:hAnsi="Tahoma" w:cs="Tahoma"/>
          <w:kern w:val="0"/>
          <w14:ligatures w14:val="none"/>
        </w:rPr>
        <w:t xml:space="preserve"> victim</w:t>
      </w:r>
      <w:r w:rsidR="003E5670" w:rsidRPr="006C5784">
        <w:rPr>
          <w:rFonts w:ascii="Tahoma" w:eastAsia="MS PGothic" w:hAnsi="Tahoma" w:cs="Tahoma"/>
          <w:kern w:val="0"/>
          <w14:ligatures w14:val="none"/>
        </w:rPr>
        <w:t xml:space="preserve"> may be more quickly released.</w:t>
      </w:r>
    </w:p>
    <w:p w14:paraId="31362012" w14:textId="77777777" w:rsidR="003E5670" w:rsidRPr="006C5784" w:rsidRDefault="003E5670" w:rsidP="003E5670">
      <w:pPr>
        <w:pStyle w:val="ListParagraph"/>
        <w:rPr>
          <w:rFonts w:ascii="Tahoma" w:eastAsia="MS PGothic" w:hAnsi="Tahoma" w:cs="Tahoma"/>
          <w:kern w:val="0"/>
          <w14:ligatures w14:val="none"/>
        </w:rPr>
      </w:pPr>
    </w:p>
    <w:p w14:paraId="5D73BCF0" w14:textId="0BC130EE" w:rsidR="008D478E" w:rsidRPr="006C5784" w:rsidRDefault="0074024D" w:rsidP="008D478E">
      <w:pPr>
        <w:pStyle w:val="ListParagraph"/>
        <w:numPr>
          <w:ilvl w:val="0"/>
          <w:numId w:val="8"/>
        </w:numPr>
        <w:tabs>
          <w:tab w:val="left" w:pos="0"/>
        </w:tabs>
        <w:spacing w:after="0" w:line="240" w:lineRule="auto"/>
        <w:rPr>
          <w:rFonts w:ascii="Tahoma" w:eastAsia="MS PGothic" w:hAnsi="Tahoma" w:cs="Tahoma"/>
          <w:kern w:val="0"/>
          <w14:ligatures w14:val="none"/>
        </w:rPr>
      </w:pPr>
      <w:r w:rsidRPr="006C5784">
        <w:rPr>
          <w:rFonts w:ascii="Tahoma" w:eastAsia="MS PGothic" w:hAnsi="Tahoma" w:cs="Tahoma"/>
          <w:kern w:val="0"/>
          <w14:ligatures w14:val="none"/>
        </w:rPr>
        <w:t xml:space="preserve">Request </w:t>
      </w:r>
      <w:r w:rsidR="00A64DD1">
        <w:rPr>
          <w:rFonts w:ascii="Tahoma" w:eastAsia="MS PGothic" w:hAnsi="Tahoma" w:cs="Tahoma"/>
          <w:kern w:val="0"/>
          <w14:ligatures w14:val="none"/>
        </w:rPr>
        <w:t xml:space="preserve">that </w:t>
      </w:r>
      <w:r w:rsidRPr="006C5784">
        <w:rPr>
          <w:rFonts w:ascii="Tahoma" w:eastAsia="MS PGothic" w:hAnsi="Tahoma" w:cs="Tahoma"/>
          <w:kern w:val="0"/>
          <w14:ligatures w14:val="none"/>
        </w:rPr>
        <w:t>t</w:t>
      </w:r>
      <w:r w:rsidR="003934AB" w:rsidRPr="006C5784">
        <w:rPr>
          <w:rFonts w:ascii="Tahoma" w:eastAsia="MS PGothic" w:hAnsi="Tahoma" w:cs="Tahoma"/>
          <w:kern w:val="0"/>
          <w14:ligatures w14:val="none"/>
        </w:rPr>
        <w:t>he</w:t>
      </w:r>
      <w:r w:rsidRPr="006C5784">
        <w:rPr>
          <w:rFonts w:ascii="Tahoma" w:eastAsia="MS PGothic" w:hAnsi="Tahoma" w:cs="Tahoma"/>
          <w:kern w:val="0"/>
          <w14:ligatures w14:val="none"/>
        </w:rPr>
        <w:t xml:space="preserve"> trial court instruct the </w:t>
      </w:r>
      <w:r w:rsidR="00036F49" w:rsidRPr="006C5784">
        <w:rPr>
          <w:rFonts w:ascii="Tahoma" w:eastAsia="MS PGothic" w:hAnsi="Tahoma" w:cs="Tahoma"/>
          <w:kern w:val="0"/>
          <w14:ligatures w14:val="none"/>
        </w:rPr>
        <w:t>victim that the court compelled the victim’s</w:t>
      </w:r>
      <w:r w:rsidRPr="006C5784">
        <w:rPr>
          <w:rFonts w:ascii="Tahoma" w:eastAsia="MS PGothic" w:hAnsi="Tahoma" w:cs="Tahoma"/>
          <w:kern w:val="0"/>
          <w14:ligatures w14:val="none"/>
        </w:rPr>
        <w:t xml:space="preserve"> presence</w:t>
      </w:r>
      <w:r w:rsidR="00036F49" w:rsidRPr="006C5784">
        <w:rPr>
          <w:rFonts w:ascii="Tahoma" w:eastAsia="MS PGothic" w:hAnsi="Tahoma" w:cs="Tahoma"/>
          <w:kern w:val="0"/>
          <w14:ligatures w14:val="none"/>
        </w:rPr>
        <w:t xml:space="preserve"> on</w:t>
      </w:r>
      <w:r w:rsidR="00121336" w:rsidRPr="006C5784">
        <w:rPr>
          <w:rFonts w:ascii="Tahoma" w:eastAsia="MS PGothic" w:hAnsi="Tahoma" w:cs="Tahoma"/>
          <w:kern w:val="0"/>
          <w14:ligatures w14:val="none"/>
        </w:rPr>
        <w:t xml:space="preserve"> </w:t>
      </w:r>
      <w:r w:rsidR="00FF6638" w:rsidRPr="006C5784">
        <w:rPr>
          <w:rFonts w:ascii="Tahoma" w:eastAsia="MS PGothic" w:hAnsi="Tahoma" w:cs="Tahoma"/>
          <w:kern w:val="0"/>
          <w14:ligatures w14:val="none"/>
        </w:rPr>
        <w:t xml:space="preserve">the </w:t>
      </w:r>
      <w:r w:rsidR="00036F49" w:rsidRPr="006C5784">
        <w:rPr>
          <w:rFonts w:ascii="Tahoma" w:eastAsia="MS PGothic" w:hAnsi="Tahoma" w:cs="Tahoma"/>
          <w:kern w:val="0"/>
          <w14:ligatures w14:val="none"/>
        </w:rPr>
        <w:t>prosecutor</w:t>
      </w:r>
      <w:r w:rsidR="00121336" w:rsidRPr="006C5784">
        <w:rPr>
          <w:rFonts w:ascii="Tahoma" w:eastAsia="MS PGothic" w:hAnsi="Tahoma" w:cs="Tahoma"/>
          <w:kern w:val="0"/>
          <w14:ligatures w14:val="none"/>
        </w:rPr>
        <w:t>’s motion</w:t>
      </w:r>
      <w:r w:rsidR="00E050C7" w:rsidRPr="006C5784">
        <w:rPr>
          <w:rFonts w:ascii="Tahoma" w:eastAsia="MS PGothic" w:hAnsi="Tahoma" w:cs="Tahoma"/>
          <w:kern w:val="0"/>
          <w14:ligatures w14:val="none"/>
        </w:rPr>
        <w:t xml:space="preserve">, </w:t>
      </w:r>
      <w:r w:rsidR="001E1B74" w:rsidRPr="006C5784">
        <w:rPr>
          <w:rFonts w:ascii="Tahoma" w:eastAsia="MS PGothic" w:hAnsi="Tahoma" w:cs="Tahoma"/>
          <w:kern w:val="0"/>
          <w14:ligatures w14:val="none"/>
        </w:rPr>
        <w:t xml:space="preserve">that </w:t>
      </w:r>
      <w:r w:rsidR="00E050C7" w:rsidRPr="006C5784">
        <w:rPr>
          <w:rFonts w:ascii="Tahoma" w:eastAsia="MS PGothic" w:hAnsi="Tahoma" w:cs="Tahoma"/>
          <w:kern w:val="0"/>
          <w14:ligatures w14:val="none"/>
        </w:rPr>
        <w:t xml:space="preserve">the victim’s obligation is to tell the truth, and </w:t>
      </w:r>
      <w:r w:rsidR="001E1B74" w:rsidRPr="006C5784">
        <w:rPr>
          <w:rFonts w:ascii="Tahoma" w:eastAsia="MS PGothic" w:hAnsi="Tahoma" w:cs="Tahoma"/>
          <w:kern w:val="0"/>
          <w14:ligatures w14:val="none"/>
        </w:rPr>
        <w:t xml:space="preserve">that </w:t>
      </w:r>
      <w:r w:rsidRPr="006C5784">
        <w:rPr>
          <w:rFonts w:ascii="Tahoma" w:eastAsia="MS PGothic" w:hAnsi="Tahoma" w:cs="Tahoma"/>
          <w:kern w:val="0"/>
          <w14:ligatures w14:val="none"/>
        </w:rPr>
        <w:t xml:space="preserve">the substance of </w:t>
      </w:r>
      <w:r w:rsidR="00E050C7" w:rsidRPr="006C5784">
        <w:rPr>
          <w:rFonts w:ascii="Tahoma" w:eastAsia="MS PGothic" w:hAnsi="Tahoma" w:cs="Tahoma"/>
          <w:kern w:val="0"/>
          <w14:ligatures w14:val="none"/>
        </w:rPr>
        <w:t xml:space="preserve">victim’s </w:t>
      </w:r>
      <w:r w:rsidRPr="006C5784">
        <w:rPr>
          <w:rFonts w:ascii="Tahoma" w:eastAsia="MS PGothic" w:hAnsi="Tahoma" w:cs="Tahoma"/>
          <w:kern w:val="0"/>
          <w14:ligatures w14:val="none"/>
        </w:rPr>
        <w:t xml:space="preserve">testimony will not be considered in determining </w:t>
      </w:r>
      <w:r w:rsidR="00594E02" w:rsidRPr="006C5784">
        <w:rPr>
          <w:rFonts w:ascii="Tahoma" w:eastAsia="MS PGothic" w:hAnsi="Tahoma" w:cs="Tahoma"/>
          <w:kern w:val="0"/>
          <w14:ligatures w14:val="none"/>
        </w:rPr>
        <w:t xml:space="preserve">the victim’s </w:t>
      </w:r>
      <w:r w:rsidR="00E050C7" w:rsidRPr="006C5784">
        <w:rPr>
          <w:rFonts w:ascii="Tahoma" w:eastAsia="MS PGothic" w:hAnsi="Tahoma" w:cs="Tahoma"/>
          <w:kern w:val="0"/>
          <w14:ligatures w14:val="none"/>
        </w:rPr>
        <w:t>release</w:t>
      </w:r>
      <w:r w:rsidRPr="006C5784">
        <w:rPr>
          <w:rFonts w:ascii="Tahoma" w:eastAsia="MS PGothic" w:hAnsi="Tahoma" w:cs="Tahoma"/>
          <w:kern w:val="0"/>
          <w14:ligatures w14:val="none"/>
        </w:rPr>
        <w:t xml:space="preserve"> from custody</w:t>
      </w:r>
      <w:r w:rsidR="00E050C7" w:rsidRPr="006C5784">
        <w:rPr>
          <w:rFonts w:ascii="Tahoma" w:eastAsia="MS PGothic" w:hAnsi="Tahoma" w:cs="Tahoma"/>
          <w:kern w:val="0"/>
          <w14:ligatures w14:val="none"/>
        </w:rPr>
        <w:t>.</w:t>
      </w:r>
    </w:p>
    <w:p w14:paraId="2B1E3615" w14:textId="77777777" w:rsidR="001E1B74" w:rsidRPr="006C5784" w:rsidRDefault="001E1B74" w:rsidP="001E1B74">
      <w:pPr>
        <w:pStyle w:val="ListParagraph"/>
        <w:rPr>
          <w:rFonts w:ascii="Tahoma" w:eastAsia="MS PGothic" w:hAnsi="Tahoma" w:cs="Tahoma"/>
          <w:kern w:val="0"/>
          <w14:ligatures w14:val="none"/>
        </w:rPr>
      </w:pPr>
    </w:p>
    <w:p w14:paraId="7A47AF54" w14:textId="1988A78B" w:rsidR="001E1B74" w:rsidRPr="006C5784" w:rsidRDefault="001E1B74" w:rsidP="008D478E">
      <w:pPr>
        <w:pStyle w:val="ListParagraph"/>
        <w:numPr>
          <w:ilvl w:val="0"/>
          <w:numId w:val="8"/>
        </w:numPr>
        <w:tabs>
          <w:tab w:val="left" w:pos="0"/>
        </w:tabs>
        <w:spacing w:after="0" w:line="240" w:lineRule="auto"/>
        <w:rPr>
          <w:rFonts w:ascii="Tahoma" w:eastAsia="MS PGothic" w:hAnsi="Tahoma" w:cs="Tahoma"/>
          <w:kern w:val="0"/>
          <w14:ligatures w14:val="none"/>
        </w:rPr>
      </w:pPr>
      <w:r w:rsidRPr="006C5784">
        <w:rPr>
          <w:rFonts w:ascii="Tahoma" w:eastAsia="MS PGothic" w:hAnsi="Tahoma" w:cs="Tahoma"/>
          <w:kern w:val="0"/>
          <w14:ligatures w14:val="none"/>
        </w:rPr>
        <w:t xml:space="preserve">Before the victim testifies, ensure that the </w:t>
      </w:r>
      <w:r w:rsidR="00594E02" w:rsidRPr="006C5784">
        <w:rPr>
          <w:rFonts w:ascii="Tahoma" w:eastAsia="MS PGothic" w:hAnsi="Tahoma" w:cs="Tahoma"/>
          <w:kern w:val="0"/>
          <w14:ligatures w14:val="none"/>
        </w:rPr>
        <w:t xml:space="preserve">victim has </w:t>
      </w:r>
      <w:r w:rsidR="00A06FA9" w:rsidRPr="006C5784">
        <w:rPr>
          <w:rFonts w:ascii="Tahoma" w:eastAsia="MS PGothic" w:hAnsi="Tahoma" w:cs="Tahoma"/>
          <w:kern w:val="0"/>
          <w14:ligatures w14:val="none"/>
        </w:rPr>
        <w:t>str</w:t>
      </w:r>
      <w:r w:rsidR="00E235A9" w:rsidRPr="006C5784">
        <w:rPr>
          <w:rFonts w:ascii="Tahoma" w:eastAsia="MS PGothic" w:hAnsi="Tahoma" w:cs="Tahoma"/>
          <w:kern w:val="0"/>
          <w14:ligatures w14:val="none"/>
        </w:rPr>
        <w:t>eet clothes</w:t>
      </w:r>
      <w:r w:rsidR="00594E02" w:rsidRPr="006C5784">
        <w:rPr>
          <w:rFonts w:ascii="Tahoma" w:eastAsia="MS PGothic" w:hAnsi="Tahoma" w:cs="Tahoma"/>
          <w:kern w:val="0"/>
          <w14:ligatures w14:val="none"/>
        </w:rPr>
        <w:t xml:space="preserve"> to wear</w:t>
      </w:r>
      <w:r w:rsidR="00E235A9" w:rsidRPr="006C5784">
        <w:rPr>
          <w:rFonts w:ascii="Tahoma" w:eastAsia="MS PGothic" w:hAnsi="Tahoma" w:cs="Tahoma"/>
          <w:kern w:val="0"/>
          <w14:ligatures w14:val="none"/>
        </w:rPr>
        <w:t xml:space="preserve"> during testimony. While the</w:t>
      </w:r>
      <w:r w:rsidR="00B57B13" w:rsidRPr="006C5784">
        <w:rPr>
          <w:rFonts w:ascii="Tahoma" w:eastAsia="MS PGothic" w:hAnsi="Tahoma" w:cs="Tahoma"/>
          <w:kern w:val="0"/>
          <w14:ligatures w14:val="none"/>
        </w:rPr>
        <w:t xml:space="preserve"> prosecutor (and the victim) may want the jury to know that the victim is in custody </w:t>
      </w:r>
      <w:r w:rsidR="001B2D30" w:rsidRPr="006C5784">
        <w:rPr>
          <w:rFonts w:ascii="Tahoma" w:eastAsia="MS PGothic" w:hAnsi="Tahoma" w:cs="Tahoma"/>
          <w:kern w:val="0"/>
          <w14:ligatures w14:val="none"/>
        </w:rPr>
        <w:t xml:space="preserve">and </w:t>
      </w:r>
      <w:r w:rsidR="007726CB" w:rsidRPr="006C5784">
        <w:rPr>
          <w:rFonts w:ascii="Tahoma" w:eastAsia="MS PGothic" w:hAnsi="Tahoma" w:cs="Tahoma"/>
          <w:kern w:val="0"/>
          <w14:ligatures w14:val="none"/>
        </w:rPr>
        <w:t xml:space="preserve">the </w:t>
      </w:r>
      <w:r w:rsidR="001B2D30" w:rsidRPr="006C5784">
        <w:rPr>
          <w:rFonts w:ascii="Tahoma" w:eastAsia="MS PGothic" w:hAnsi="Tahoma" w:cs="Tahoma"/>
          <w:kern w:val="0"/>
          <w14:ligatures w14:val="none"/>
        </w:rPr>
        <w:t>reason for it</w:t>
      </w:r>
      <w:r w:rsidR="00B57B13" w:rsidRPr="006C5784">
        <w:rPr>
          <w:rFonts w:ascii="Tahoma" w:eastAsia="MS PGothic" w:hAnsi="Tahoma" w:cs="Tahoma"/>
          <w:kern w:val="0"/>
          <w14:ligatures w14:val="none"/>
        </w:rPr>
        <w:t xml:space="preserve">, the victim should still be afforded the </w:t>
      </w:r>
      <w:r w:rsidR="001871F5" w:rsidRPr="006C5784">
        <w:rPr>
          <w:rFonts w:ascii="Tahoma" w:eastAsia="MS PGothic" w:hAnsi="Tahoma" w:cs="Tahoma"/>
          <w:kern w:val="0"/>
          <w14:ligatures w14:val="none"/>
        </w:rPr>
        <w:t xml:space="preserve">dignity of not testifying in jail </w:t>
      </w:r>
      <w:r w:rsidR="007726CB" w:rsidRPr="006C5784">
        <w:rPr>
          <w:rFonts w:ascii="Tahoma" w:eastAsia="MS PGothic" w:hAnsi="Tahoma" w:cs="Tahoma"/>
          <w:kern w:val="0"/>
          <w14:ligatures w14:val="none"/>
        </w:rPr>
        <w:t>attire</w:t>
      </w:r>
      <w:r w:rsidR="001F0860" w:rsidRPr="006C5784">
        <w:rPr>
          <w:rFonts w:ascii="Tahoma" w:eastAsia="MS PGothic" w:hAnsi="Tahoma" w:cs="Tahoma"/>
          <w:kern w:val="0"/>
          <w14:ligatures w14:val="none"/>
        </w:rPr>
        <w:t>.</w:t>
      </w:r>
    </w:p>
    <w:p w14:paraId="32E01C88" w14:textId="77777777" w:rsidR="008D478E" w:rsidRPr="006C5784" w:rsidRDefault="008D478E" w:rsidP="008D478E">
      <w:pPr>
        <w:tabs>
          <w:tab w:val="left" w:pos="0"/>
        </w:tabs>
        <w:spacing w:after="0" w:line="240" w:lineRule="auto"/>
        <w:rPr>
          <w:rFonts w:ascii="Tahoma" w:eastAsia="MS PGothic" w:hAnsi="Tahoma" w:cs="Tahoma"/>
          <w:kern w:val="0"/>
          <w14:ligatures w14:val="none"/>
        </w:rPr>
      </w:pPr>
    </w:p>
    <w:p w14:paraId="0562C28D" w14:textId="6C503FDF" w:rsidR="008D478E" w:rsidRPr="006C5784" w:rsidRDefault="008D478E" w:rsidP="008D478E">
      <w:pPr>
        <w:tabs>
          <w:tab w:val="left" w:pos="0"/>
        </w:tabs>
        <w:spacing w:after="0" w:line="240" w:lineRule="auto"/>
        <w:rPr>
          <w:rFonts w:ascii="Tahoma" w:eastAsia="MS PGothic" w:hAnsi="Tahoma" w:cs="Tahoma"/>
          <w:kern w:val="0"/>
          <w14:ligatures w14:val="none"/>
        </w:rPr>
      </w:pPr>
      <w:r w:rsidRPr="006C5784">
        <w:rPr>
          <w:rFonts w:ascii="Tahoma" w:eastAsia="MS PGothic" w:hAnsi="Tahoma" w:cs="Tahoma"/>
          <w:kern w:val="0"/>
          <w14:ligatures w14:val="none"/>
        </w:rPr>
        <w:t xml:space="preserve">If a victim is arrested on an </w:t>
      </w:r>
      <w:r w:rsidR="00D1590A" w:rsidRPr="006C5784">
        <w:rPr>
          <w:rFonts w:ascii="Tahoma" w:eastAsia="MS PGothic" w:hAnsi="Tahoma" w:cs="Tahoma"/>
          <w:kern w:val="0"/>
          <w14:ligatures w14:val="none"/>
        </w:rPr>
        <w:t xml:space="preserve">outstanding warrant on a matter unrelated to the case at issue, the </w:t>
      </w:r>
      <w:r w:rsidR="005B3BC1" w:rsidRPr="006C5784">
        <w:rPr>
          <w:rFonts w:ascii="Tahoma" w:eastAsia="MS PGothic" w:hAnsi="Tahoma" w:cs="Tahoma"/>
          <w:kern w:val="0"/>
          <w14:ligatures w14:val="none"/>
        </w:rPr>
        <w:t xml:space="preserve">prosecutor </w:t>
      </w:r>
      <w:r w:rsidR="001F0860" w:rsidRPr="006C5784">
        <w:rPr>
          <w:rFonts w:ascii="Tahoma" w:eastAsia="MS PGothic" w:hAnsi="Tahoma" w:cs="Tahoma"/>
          <w:kern w:val="0"/>
          <w14:ligatures w14:val="none"/>
        </w:rPr>
        <w:t>handling th</w:t>
      </w:r>
      <w:r w:rsidR="00312615" w:rsidRPr="006C5784">
        <w:rPr>
          <w:rFonts w:ascii="Tahoma" w:eastAsia="MS PGothic" w:hAnsi="Tahoma" w:cs="Tahoma"/>
          <w:kern w:val="0"/>
          <w14:ligatures w14:val="none"/>
        </w:rPr>
        <w:t xml:space="preserve">e </w:t>
      </w:r>
      <w:r w:rsidR="001F0860" w:rsidRPr="006C5784">
        <w:rPr>
          <w:rFonts w:ascii="Tahoma" w:eastAsia="MS PGothic" w:hAnsi="Tahoma" w:cs="Tahoma"/>
          <w:kern w:val="0"/>
          <w14:ligatures w14:val="none"/>
        </w:rPr>
        <w:t xml:space="preserve">case </w:t>
      </w:r>
      <w:r w:rsidR="00312615" w:rsidRPr="006C5784">
        <w:rPr>
          <w:rFonts w:ascii="Tahoma" w:eastAsia="MS PGothic" w:hAnsi="Tahoma" w:cs="Tahoma"/>
          <w:kern w:val="0"/>
          <w14:ligatures w14:val="none"/>
        </w:rPr>
        <w:t xml:space="preserve">at issue </w:t>
      </w:r>
      <w:r w:rsidR="005B3BC1" w:rsidRPr="006C5784">
        <w:rPr>
          <w:rFonts w:ascii="Tahoma" w:eastAsia="MS PGothic" w:hAnsi="Tahoma" w:cs="Tahoma"/>
          <w:kern w:val="0"/>
          <w14:ligatures w14:val="none"/>
        </w:rPr>
        <w:t>should</w:t>
      </w:r>
      <w:r w:rsidR="00F75061" w:rsidRPr="006C5784">
        <w:rPr>
          <w:rFonts w:ascii="Tahoma" w:eastAsia="MS PGothic" w:hAnsi="Tahoma" w:cs="Tahoma"/>
          <w:kern w:val="0"/>
          <w14:ligatures w14:val="none"/>
        </w:rPr>
        <w:t xml:space="preserve"> </w:t>
      </w:r>
      <w:r w:rsidR="00F75061" w:rsidRPr="006C5784">
        <w:rPr>
          <w:rFonts w:ascii="Tahoma" w:eastAsia="MS PGothic" w:hAnsi="Tahoma" w:cs="Tahoma"/>
          <w:kern w:val="0"/>
          <w:u w:val="single"/>
          <w14:ligatures w14:val="none"/>
        </w:rPr>
        <w:t>not</w:t>
      </w:r>
      <w:r w:rsidR="005B3BC1" w:rsidRPr="006C5784">
        <w:rPr>
          <w:rFonts w:ascii="Tahoma" w:eastAsia="MS PGothic" w:hAnsi="Tahoma" w:cs="Tahoma"/>
          <w:kern w:val="0"/>
          <w14:ligatures w14:val="none"/>
        </w:rPr>
        <w:t xml:space="preserve"> also handl</w:t>
      </w:r>
      <w:r w:rsidR="004E302A" w:rsidRPr="006C5784">
        <w:rPr>
          <w:rFonts w:ascii="Tahoma" w:eastAsia="MS PGothic" w:hAnsi="Tahoma" w:cs="Tahoma"/>
          <w:kern w:val="0"/>
          <w14:ligatures w14:val="none"/>
        </w:rPr>
        <w:t>e</w:t>
      </w:r>
      <w:r w:rsidR="005B3BC1" w:rsidRPr="006C5784">
        <w:rPr>
          <w:rFonts w:ascii="Tahoma" w:eastAsia="MS PGothic" w:hAnsi="Tahoma" w:cs="Tahoma"/>
          <w:kern w:val="0"/>
          <w14:ligatures w14:val="none"/>
        </w:rPr>
        <w:t xml:space="preserve"> the case where the victim is a defendant.</w:t>
      </w:r>
      <w:r w:rsidR="004E302A" w:rsidRPr="006C5784">
        <w:rPr>
          <w:rFonts w:ascii="Tahoma" w:eastAsia="MS PGothic" w:hAnsi="Tahoma" w:cs="Tahoma"/>
          <w:kern w:val="0"/>
          <w14:ligatures w14:val="none"/>
        </w:rPr>
        <w:t xml:space="preserve"> </w:t>
      </w:r>
    </w:p>
    <w:p w14:paraId="3F995CA5" w14:textId="77777777" w:rsidR="00353758" w:rsidRPr="006C5784" w:rsidRDefault="00353758" w:rsidP="00735A21">
      <w:pPr>
        <w:tabs>
          <w:tab w:val="left" w:pos="0"/>
        </w:tabs>
        <w:spacing w:after="0" w:line="240" w:lineRule="auto"/>
        <w:rPr>
          <w:rFonts w:ascii="Tahoma" w:eastAsia="MS PGothic" w:hAnsi="Tahoma" w:cs="Tahoma"/>
          <w:kern w:val="0"/>
          <w:u w:val="single"/>
          <w14:ligatures w14:val="none"/>
        </w:rPr>
      </w:pPr>
    </w:p>
    <w:p w14:paraId="47456D1A" w14:textId="77777777" w:rsidR="003876A2" w:rsidRPr="006C5784" w:rsidRDefault="003876A2" w:rsidP="00155CFD">
      <w:pPr>
        <w:tabs>
          <w:tab w:val="left" w:pos="0"/>
        </w:tabs>
        <w:spacing w:after="0" w:line="240" w:lineRule="auto"/>
        <w:rPr>
          <w:rFonts w:ascii="Tahoma" w:eastAsia="MS PGothic" w:hAnsi="Tahoma" w:cs="Tahoma"/>
          <w:kern w:val="0"/>
          <w:u w:val="single"/>
          <w14:ligatures w14:val="none"/>
        </w:rPr>
      </w:pPr>
    </w:p>
    <w:sectPr w:rsidR="003876A2" w:rsidRPr="006C5784" w:rsidSect="00E60E13">
      <w:footerReference w:type="default" r:id="rId10"/>
      <w:footerReference w:type="first" r:id="rId11"/>
      <w:footnotePr>
        <w:numRestart w:val="eachPage"/>
      </w:footnotePr>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F88FA" w14:textId="77777777" w:rsidR="00BB2D2A" w:rsidRDefault="00BB2D2A" w:rsidP="003366B0">
      <w:pPr>
        <w:spacing w:after="0" w:line="240" w:lineRule="auto"/>
      </w:pPr>
      <w:r>
        <w:separator/>
      </w:r>
    </w:p>
  </w:endnote>
  <w:endnote w:type="continuationSeparator" w:id="0">
    <w:p w14:paraId="796E10E9" w14:textId="77777777" w:rsidR="00BB2D2A" w:rsidRDefault="00BB2D2A" w:rsidP="003366B0">
      <w:pPr>
        <w:spacing w:after="0" w:line="240" w:lineRule="auto"/>
      </w:pPr>
      <w:r>
        <w:continuationSeparator/>
      </w:r>
    </w:p>
  </w:endnote>
  <w:endnote w:type="continuationNotice" w:id="1">
    <w:p w14:paraId="1E476E24" w14:textId="77777777" w:rsidR="00BB2D2A" w:rsidRDefault="00BB2D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kwell">
    <w:panose1 w:val="02060603020205020403"/>
    <w:charset w:val="00"/>
    <w:family w:val="roman"/>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057403"/>
      <w:docPartObj>
        <w:docPartGallery w:val="Page Numbers (Bottom of Page)"/>
        <w:docPartUnique/>
      </w:docPartObj>
    </w:sdtPr>
    <w:sdtEndPr>
      <w:rPr>
        <w:noProof/>
      </w:rPr>
    </w:sdtEndPr>
    <w:sdtContent>
      <w:p w14:paraId="02B92715" w14:textId="2C5D8FBB" w:rsidR="00E33C61" w:rsidRDefault="00E33C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1F0BC4" w14:textId="32A1C2C1" w:rsidR="00D24A12" w:rsidRDefault="00D24A1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279D" w14:textId="77777777" w:rsidR="005E454B" w:rsidRPr="005E454B" w:rsidRDefault="005E454B" w:rsidP="005E454B">
    <w:pPr>
      <w:pStyle w:val="Footer"/>
    </w:pPr>
    <w:r w:rsidRPr="005E454B">
      <w:t>Developed January 2025</w:t>
    </w:r>
  </w:p>
  <w:p w14:paraId="2FEC039C" w14:textId="77777777" w:rsidR="005E454B" w:rsidRDefault="005E4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57D01" w14:textId="77777777" w:rsidR="00BB2D2A" w:rsidRDefault="00BB2D2A" w:rsidP="003366B0">
      <w:pPr>
        <w:spacing w:after="0" w:line="240" w:lineRule="auto"/>
      </w:pPr>
      <w:r>
        <w:separator/>
      </w:r>
    </w:p>
  </w:footnote>
  <w:footnote w:type="continuationSeparator" w:id="0">
    <w:p w14:paraId="0BD688AA" w14:textId="77777777" w:rsidR="00BB2D2A" w:rsidRDefault="00BB2D2A" w:rsidP="003366B0">
      <w:pPr>
        <w:spacing w:after="0" w:line="240" w:lineRule="auto"/>
      </w:pPr>
      <w:r>
        <w:continuationSeparator/>
      </w:r>
    </w:p>
  </w:footnote>
  <w:footnote w:type="continuationNotice" w:id="1">
    <w:p w14:paraId="46E2C2D5" w14:textId="77777777" w:rsidR="00BB2D2A" w:rsidRDefault="00BB2D2A">
      <w:pPr>
        <w:spacing w:after="0" w:line="240" w:lineRule="auto"/>
      </w:pPr>
    </w:p>
  </w:footnote>
  <w:footnote w:id="2">
    <w:p w14:paraId="19989C7B" w14:textId="68714483" w:rsidR="00A5791B" w:rsidRPr="00A5791B" w:rsidRDefault="00A5791B" w:rsidP="00A5791B">
      <w:pPr>
        <w:pStyle w:val="FootnoteText"/>
        <w:rPr>
          <w:rFonts w:ascii="Tahoma" w:hAnsi="Tahoma" w:cs="Tahoma"/>
        </w:rPr>
      </w:pPr>
      <w:r w:rsidRPr="00A5791B">
        <w:rPr>
          <w:rStyle w:val="FootnoteReference"/>
          <w:rFonts w:ascii="Tahoma" w:hAnsi="Tahoma" w:cs="Tahoma"/>
        </w:rPr>
        <w:footnoteRef/>
      </w:r>
      <w:r w:rsidRPr="00A5791B">
        <w:rPr>
          <w:rFonts w:ascii="Tahoma" w:hAnsi="Tahoma" w:cs="Tahoma"/>
        </w:rPr>
        <w:t xml:space="preserve"> These provisions state that “prosecutor’s offices [must] engage in planning, developing, and implementing:”</w:t>
      </w:r>
    </w:p>
    <w:p w14:paraId="0EB7CB77" w14:textId="77777777" w:rsidR="00A5791B" w:rsidRPr="00A5791B" w:rsidRDefault="00A5791B" w:rsidP="00A5791B">
      <w:pPr>
        <w:pStyle w:val="FootnoteText"/>
        <w:rPr>
          <w:rFonts w:ascii="Tahoma" w:hAnsi="Tahoma" w:cs="Tahoma"/>
        </w:rPr>
      </w:pPr>
    </w:p>
    <w:p w14:paraId="0C9D237C" w14:textId="3C055139" w:rsidR="00A5791B" w:rsidRDefault="00A5791B" w:rsidP="00A5791B">
      <w:pPr>
        <w:pStyle w:val="FootnoteText"/>
        <w:ind w:left="720" w:right="720"/>
        <w:jc w:val="both"/>
      </w:pPr>
      <w:r w:rsidRPr="00A5791B">
        <w:rPr>
          <w:rFonts w:ascii="Tahoma" w:hAnsi="Tahoma" w:cs="Tahoma"/>
        </w:rPr>
        <w:t>a protocol outlining alternative practices and procedures for material witness petitions and bench warrants, consistent with best practices, that shall be exhausted before employing material witness petitions and bench warrants to obtain victim-witness testimony in the investigation, prosecution, and trial of a crime related to domestic violence, sexual assault, dating violence, and stalking of the victim in order to prevent further victimization and trauma to the victim.</w:t>
      </w:r>
    </w:p>
  </w:footnote>
  <w:footnote w:id="3">
    <w:p w14:paraId="2B1F3A8A" w14:textId="63785590" w:rsidR="001B2837" w:rsidRPr="001B2837" w:rsidRDefault="001B2837">
      <w:pPr>
        <w:pStyle w:val="FootnoteText"/>
        <w:rPr>
          <w:rFonts w:ascii="Tahoma" w:hAnsi="Tahoma" w:cs="Tahoma"/>
        </w:rPr>
      </w:pPr>
      <w:r w:rsidRPr="001B2837">
        <w:rPr>
          <w:rStyle w:val="FootnoteReference"/>
          <w:rFonts w:ascii="Tahoma" w:hAnsi="Tahoma" w:cs="Tahoma"/>
        </w:rPr>
        <w:footnoteRef/>
      </w:r>
      <w:r w:rsidRPr="001B2837">
        <w:rPr>
          <w:rFonts w:ascii="Tahoma" w:hAnsi="Tahoma" w:cs="Tahoma"/>
        </w:rPr>
        <w:t xml:space="preserve"> Different considerations may apply where the victim has committed collateral or unrelated crimes. This policy governs detaining victims for the sole purpose of securing testimony.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744"/>
    <w:multiLevelType w:val="hybridMultilevel"/>
    <w:tmpl w:val="A09648D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4D0CD8"/>
    <w:multiLevelType w:val="hybridMultilevel"/>
    <w:tmpl w:val="D46811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435EDB"/>
    <w:multiLevelType w:val="hybridMultilevel"/>
    <w:tmpl w:val="0C7A20A8"/>
    <w:lvl w:ilvl="0" w:tplc="C0D4128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587F2B"/>
    <w:multiLevelType w:val="hybridMultilevel"/>
    <w:tmpl w:val="4E5217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285530"/>
    <w:multiLevelType w:val="hybridMultilevel"/>
    <w:tmpl w:val="71AC51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3A57FFC"/>
    <w:multiLevelType w:val="hybridMultilevel"/>
    <w:tmpl w:val="8B92DC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1C4402C"/>
    <w:multiLevelType w:val="hybridMultilevel"/>
    <w:tmpl w:val="44D03C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40B0A23"/>
    <w:multiLevelType w:val="hybridMultilevel"/>
    <w:tmpl w:val="2930765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3425031">
    <w:abstractNumId w:val="4"/>
  </w:num>
  <w:num w:numId="2" w16cid:durableId="261231171">
    <w:abstractNumId w:val="3"/>
  </w:num>
  <w:num w:numId="3" w16cid:durableId="1797870953">
    <w:abstractNumId w:val="5"/>
  </w:num>
  <w:num w:numId="4" w16cid:durableId="1291279962">
    <w:abstractNumId w:val="2"/>
  </w:num>
  <w:num w:numId="5" w16cid:durableId="1651862421">
    <w:abstractNumId w:val="6"/>
  </w:num>
  <w:num w:numId="6" w16cid:durableId="634336278">
    <w:abstractNumId w:val="7"/>
  </w:num>
  <w:num w:numId="7" w16cid:durableId="691229027">
    <w:abstractNumId w:val="0"/>
  </w:num>
  <w:num w:numId="8" w16cid:durableId="1444348805">
    <w:abstractNumId w:val="1"/>
  </w:num>
  <w:num w:numId="9" w16cid:durableId="1139612627">
    <w:abstractNumId w:val="3"/>
  </w:num>
  <w:num w:numId="10" w16cid:durableId="210321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0F9"/>
    <w:rsid w:val="000037EC"/>
    <w:rsid w:val="00004449"/>
    <w:rsid w:val="00004C59"/>
    <w:rsid w:val="00012A2C"/>
    <w:rsid w:val="000146C4"/>
    <w:rsid w:val="00014C9C"/>
    <w:rsid w:val="000154CF"/>
    <w:rsid w:val="00026CAB"/>
    <w:rsid w:val="00035543"/>
    <w:rsid w:val="00036F49"/>
    <w:rsid w:val="00037519"/>
    <w:rsid w:val="0004077C"/>
    <w:rsid w:val="00042E79"/>
    <w:rsid w:val="00045A86"/>
    <w:rsid w:val="00053ABA"/>
    <w:rsid w:val="00054294"/>
    <w:rsid w:val="00054BE7"/>
    <w:rsid w:val="000579D6"/>
    <w:rsid w:val="00061689"/>
    <w:rsid w:val="00063FC9"/>
    <w:rsid w:val="000640CD"/>
    <w:rsid w:val="00065789"/>
    <w:rsid w:val="00066A71"/>
    <w:rsid w:val="00071334"/>
    <w:rsid w:val="00083E46"/>
    <w:rsid w:val="00087A04"/>
    <w:rsid w:val="0009063C"/>
    <w:rsid w:val="00091589"/>
    <w:rsid w:val="00094365"/>
    <w:rsid w:val="00096928"/>
    <w:rsid w:val="000A1919"/>
    <w:rsid w:val="000A67E6"/>
    <w:rsid w:val="000A7434"/>
    <w:rsid w:val="000B6042"/>
    <w:rsid w:val="000B7953"/>
    <w:rsid w:val="000C0454"/>
    <w:rsid w:val="000C3BC9"/>
    <w:rsid w:val="000C51D8"/>
    <w:rsid w:val="000C57C0"/>
    <w:rsid w:val="000C7D3C"/>
    <w:rsid w:val="000E1C29"/>
    <w:rsid w:val="000F07B5"/>
    <w:rsid w:val="000F4DDB"/>
    <w:rsid w:val="000F5061"/>
    <w:rsid w:val="00101358"/>
    <w:rsid w:val="0010373B"/>
    <w:rsid w:val="00104987"/>
    <w:rsid w:val="00105093"/>
    <w:rsid w:val="001069D9"/>
    <w:rsid w:val="001110F9"/>
    <w:rsid w:val="0011412C"/>
    <w:rsid w:val="00116914"/>
    <w:rsid w:val="00121336"/>
    <w:rsid w:val="00121EE8"/>
    <w:rsid w:val="001243B9"/>
    <w:rsid w:val="00131CEA"/>
    <w:rsid w:val="00131E55"/>
    <w:rsid w:val="001320D6"/>
    <w:rsid w:val="00137655"/>
    <w:rsid w:val="00140510"/>
    <w:rsid w:val="0014091E"/>
    <w:rsid w:val="001410E1"/>
    <w:rsid w:val="00143137"/>
    <w:rsid w:val="00143BB4"/>
    <w:rsid w:val="00145DC2"/>
    <w:rsid w:val="00155CFD"/>
    <w:rsid w:val="001629FD"/>
    <w:rsid w:val="00165770"/>
    <w:rsid w:val="00166295"/>
    <w:rsid w:val="00174416"/>
    <w:rsid w:val="00184269"/>
    <w:rsid w:val="00185AA7"/>
    <w:rsid w:val="0018712D"/>
    <w:rsid w:val="001871F5"/>
    <w:rsid w:val="00187663"/>
    <w:rsid w:val="00191A86"/>
    <w:rsid w:val="00195BF6"/>
    <w:rsid w:val="001A0CCD"/>
    <w:rsid w:val="001A2888"/>
    <w:rsid w:val="001A697E"/>
    <w:rsid w:val="001B2442"/>
    <w:rsid w:val="001B2837"/>
    <w:rsid w:val="001B2D30"/>
    <w:rsid w:val="001B3CB7"/>
    <w:rsid w:val="001B435F"/>
    <w:rsid w:val="001B5C93"/>
    <w:rsid w:val="001B62F5"/>
    <w:rsid w:val="001B6AF9"/>
    <w:rsid w:val="001E1B74"/>
    <w:rsid w:val="001E2F34"/>
    <w:rsid w:val="001E3B9B"/>
    <w:rsid w:val="001E5A69"/>
    <w:rsid w:val="001E7EDE"/>
    <w:rsid w:val="001F0860"/>
    <w:rsid w:val="001F314E"/>
    <w:rsid w:val="00214C4B"/>
    <w:rsid w:val="00217FE3"/>
    <w:rsid w:val="00224094"/>
    <w:rsid w:val="002245CF"/>
    <w:rsid w:val="002347A2"/>
    <w:rsid w:val="00236AF9"/>
    <w:rsid w:val="0024299E"/>
    <w:rsid w:val="0024522B"/>
    <w:rsid w:val="00245704"/>
    <w:rsid w:val="0024599D"/>
    <w:rsid w:val="002500F8"/>
    <w:rsid w:val="00251749"/>
    <w:rsid w:val="00251E87"/>
    <w:rsid w:val="00251F19"/>
    <w:rsid w:val="002525F6"/>
    <w:rsid w:val="0025303A"/>
    <w:rsid w:val="002540FB"/>
    <w:rsid w:val="002565C1"/>
    <w:rsid w:val="0026283B"/>
    <w:rsid w:val="00264901"/>
    <w:rsid w:val="00270CFE"/>
    <w:rsid w:val="00277370"/>
    <w:rsid w:val="00277696"/>
    <w:rsid w:val="002811F8"/>
    <w:rsid w:val="0028154B"/>
    <w:rsid w:val="00286136"/>
    <w:rsid w:val="00290EE0"/>
    <w:rsid w:val="00290FE4"/>
    <w:rsid w:val="0029263F"/>
    <w:rsid w:val="00296371"/>
    <w:rsid w:val="00296CED"/>
    <w:rsid w:val="002A3C37"/>
    <w:rsid w:val="002A78D9"/>
    <w:rsid w:val="002B3A24"/>
    <w:rsid w:val="002B3C20"/>
    <w:rsid w:val="002C74DE"/>
    <w:rsid w:val="002D2B09"/>
    <w:rsid w:val="002D3F5A"/>
    <w:rsid w:val="002D4039"/>
    <w:rsid w:val="002D5179"/>
    <w:rsid w:val="002E163A"/>
    <w:rsid w:val="002E3F19"/>
    <w:rsid w:val="002E5E42"/>
    <w:rsid w:val="002E6258"/>
    <w:rsid w:val="002F0BA9"/>
    <w:rsid w:val="002F28F1"/>
    <w:rsid w:val="002F3A0E"/>
    <w:rsid w:val="002F54DF"/>
    <w:rsid w:val="003050FB"/>
    <w:rsid w:val="003066D3"/>
    <w:rsid w:val="0030749B"/>
    <w:rsid w:val="00307A35"/>
    <w:rsid w:val="003102BA"/>
    <w:rsid w:val="003117F1"/>
    <w:rsid w:val="0031226F"/>
    <w:rsid w:val="00312615"/>
    <w:rsid w:val="00316263"/>
    <w:rsid w:val="00320C36"/>
    <w:rsid w:val="00321302"/>
    <w:rsid w:val="00322AD4"/>
    <w:rsid w:val="00327708"/>
    <w:rsid w:val="00334316"/>
    <w:rsid w:val="00334CC7"/>
    <w:rsid w:val="003350F8"/>
    <w:rsid w:val="00335359"/>
    <w:rsid w:val="003366B0"/>
    <w:rsid w:val="00337637"/>
    <w:rsid w:val="003413C7"/>
    <w:rsid w:val="00346B70"/>
    <w:rsid w:val="00350FD7"/>
    <w:rsid w:val="00351D2A"/>
    <w:rsid w:val="00353758"/>
    <w:rsid w:val="00362846"/>
    <w:rsid w:val="003628C2"/>
    <w:rsid w:val="003675E4"/>
    <w:rsid w:val="003678EB"/>
    <w:rsid w:val="00370616"/>
    <w:rsid w:val="003719F1"/>
    <w:rsid w:val="003728A5"/>
    <w:rsid w:val="00372F46"/>
    <w:rsid w:val="00374D29"/>
    <w:rsid w:val="00376B86"/>
    <w:rsid w:val="003777B2"/>
    <w:rsid w:val="003809E9"/>
    <w:rsid w:val="00385058"/>
    <w:rsid w:val="003876A2"/>
    <w:rsid w:val="0039141A"/>
    <w:rsid w:val="003934AB"/>
    <w:rsid w:val="003941F0"/>
    <w:rsid w:val="003975B2"/>
    <w:rsid w:val="0039783E"/>
    <w:rsid w:val="003A2FC0"/>
    <w:rsid w:val="003B1513"/>
    <w:rsid w:val="003B18D9"/>
    <w:rsid w:val="003B2781"/>
    <w:rsid w:val="003B7CBC"/>
    <w:rsid w:val="003C2F39"/>
    <w:rsid w:val="003D4C65"/>
    <w:rsid w:val="003D5940"/>
    <w:rsid w:val="003D6B39"/>
    <w:rsid w:val="003E3B65"/>
    <w:rsid w:val="003E3CEA"/>
    <w:rsid w:val="003E5460"/>
    <w:rsid w:val="003E5670"/>
    <w:rsid w:val="003E6989"/>
    <w:rsid w:val="003F29BA"/>
    <w:rsid w:val="00401244"/>
    <w:rsid w:val="004045F5"/>
    <w:rsid w:val="00405002"/>
    <w:rsid w:val="00407046"/>
    <w:rsid w:val="0041305A"/>
    <w:rsid w:val="004142B6"/>
    <w:rsid w:val="0041452B"/>
    <w:rsid w:val="004207AE"/>
    <w:rsid w:val="00420FB1"/>
    <w:rsid w:val="00423984"/>
    <w:rsid w:val="00440836"/>
    <w:rsid w:val="00443279"/>
    <w:rsid w:val="00450594"/>
    <w:rsid w:val="00452E9E"/>
    <w:rsid w:val="0045334F"/>
    <w:rsid w:val="00455542"/>
    <w:rsid w:val="00460782"/>
    <w:rsid w:val="00462445"/>
    <w:rsid w:val="00463EBF"/>
    <w:rsid w:val="00466AA3"/>
    <w:rsid w:val="004708EE"/>
    <w:rsid w:val="0047145C"/>
    <w:rsid w:val="004732BD"/>
    <w:rsid w:val="00474482"/>
    <w:rsid w:val="00484AF1"/>
    <w:rsid w:val="004945A5"/>
    <w:rsid w:val="004946AE"/>
    <w:rsid w:val="00494B44"/>
    <w:rsid w:val="004962BB"/>
    <w:rsid w:val="004B2CD6"/>
    <w:rsid w:val="004B30C5"/>
    <w:rsid w:val="004B4FBA"/>
    <w:rsid w:val="004B57B6"/>
    <w:rsid w:val="004C1287"/>
    <w:rsid w:val="004C5803"/>
    <w:rsid w:val="004C5DC5"/>
    <w:rsid w:val="004C5E59"/>
    <w:rsid w:val="004C6429"/>
    <w:rsid w:val="004D654E"/>
    <w:rsid w:val="004D7658"/>
    <w:rsid w:val="004E302A"/>
    <w:rsid w:val="004E5C90"/>
    <w:rsid w:val="004F1EBE"/>
    <w:rsid w:val="004F2B8F"/>
    <w:rsid w:val="004F36E0"/>
    <w:rsid w:val="004F3C7C"/>
    <w:rsid w:val="004F42D4"/>
    <w:rsid w:val="004F5746"/>
    <w:rsid w:val="00501ED3"/>
    <w:rsid w:val="00502EAA"/>
    <w:rsid w:val="00507C1F"/>
    <w:rsid w:val="00510D20"/>
    <w:rsid w:val="0051500B"/>
    <w:rsid w:val="00521702"/>
    <w:rsid w:val="00521EBF"/>
    <w:rsid w:val="00525154"/>
    <w:rsid w:val="005412A0"/>
    <w:rsid w:val="005412D7"/>
    <w:rsid w:val="00543E33"/>
    <w:rsid w:val="00546509"/>
    <w:rsid w:val="00547B42"/>
    <w:rsid w:val="00556FFD"/>
    <w:rsid w:val="005645BD"/>
    <w:rsid w:val="005674C4"/>
    <w:rsid w:val="00567E17"/>
    <w:rsid w:val="00572500"/>
    <w:rsid w:val="00581386"/>
    <w:rsid w:val="005843BF"/>
    <w:rsid w:val="005847DC"/>
    <w:rsid w:val="00586318"/>
    <w:rsid w:val="00590F0A"/>
    <w:rsid w:val="0059330B"/>
    <w:rsid w:val="0059482D"/>
    <w:rsid w:val="00594E02"/>
    <w:rsid w:val="005A0803"/>
    <w:rsid w:val="005B09CB"/>
    <w:rsid w:val="005B3BC1"/>
    <w:rsid w:val="005B4376"/>
    <w:rsid w:val="005B54D9"/>
    <w:rsid w:val="005B647E"/>
    <w:rsid w:val="005B79F9"/>
    <w:rsid w:val="005B7E4E"/>
    <w:rsid w:val="005C749B"/>
    <w:rsid w:val="005D04F0"/>
    <w:rsid w:val="005D5C6D"/>
    <w:rsid w:val="005D7B01"/>
    <w:rsid w:val="005E11D4"/>
    <w:rsid w:val="005E352F"/>
    <w:rsid w:val="005E454B"/>
    <w:rsid w:val="005F02C5"/>
    <w:rsid w:val="005F267F"/>
    <w:rsid w:val="005F4F8D"/>
    <w:rsid w:val="005F547C"/>
    <w:rsid w:val="005F5999"/>
    <w:rsid w:val="0060118E"/>
    <w:rsid w:val="0060666D"/>
    <w:rsid w:val="006131FB"/>
    <w:rsid w:val="00614630"/>
    <w:rsid w:val="00616976"/>
    <w:rsid w:val="00624477"/>
    <w:rsid w:val="006250E4"/>
    <w:rsid w:val="00631025"/>
    <w:rsid w:val="00634D9C"/>
    <w:rsid w:val="00635537"/>
    <w:rsid w:val="00636B2D"/>
    <w:rsid w:val="00640BAA"/>
    <w:rsid w:val="0064100F"/>
    <w:rsid w:val="006413BB"/>
    <w:rsid w:val="00642D18"/>
    <w:rsid w:val="00644540"/>
    <w:rsid w:val="00652E44"/>
    <w:rsid w:val="0065368A"/>
    <w:rsid w:val="006565A7"/>
    <w:rsid w:val="0065788A"/>
    <w:rsid w:val="00663ABF"/>
    <w:rsid w:val="00664F49"/>
    <w:rsid w:val="00664FA1"/>
    <w:rsid w:val="00667414"/>
    <w:rsid w:val="00672A25"/>
    <w:rsid w:val="00674B53"/>
    <w:rsid w:val="00683BAB"/>
    <w:rsid w:val="0068413C"/>
    <w:rsid w:val="006852CA"/>
    <w:rsid w:val="00694042"/>
    <w:rsid w:val="0069725A"/>
    <w:rsid w:val="006A1BA5"/>
    <w:rsid w:val="006A55C4"/>
    <w:rsid w:val="006A5F8A"/>
    <w:rsid w:val="006A7688"/>
    <w:rsid w:val="006A7E73"/>
    <w:rsid w:val="006B0513"/>
    <w:rsid w:val="006B0A76"/>
    <w:rsid w:val="006B4F56"/>
    <w:rsid w:val="006B513A"/>
    <w:rsid w:val="006B5327"/>
    <w:rsid w:val="006B5A16"/>
    <w:rsid w:val="006C03BA"/>
    <w:rsid w:val="006C4652"/>
    <w:rsid w:val="006C4735"/>
    <w:rsid w:val="006C4BA1"/>
    <w:rsid w:val="006C5784"/>
    <w:rsid w:val="006D16A9"/>
    <w:rsid w:val="006D46B6"/>
    <w:rsid w:val="006D5300"/>
    <w:rsid w:val="006E53B9"/>
    <w:rsid w:val="006E56B0"/>
    <w:rsid w:val="006F1815"/>
    <w:rsid w:val="006F43B7"/>
    <w:rsid w:val="006F5374"/>
    <w:rsid w:val="006F7835"/>
    <w:rsid w:val="00702E4C"/>
    <w:rsid w:val="00707544"/>
    <w:rsid w:val="0070797B"/>
    <w:rsid w:val="00707AC4"/>
    <w:rsid w:val="00707CB5"/>
    <w:rsid w:val="007162E5"/>
    <w:rsid w:val="00716670"/>
    <w:rsid w:val="00717D75"/>
    <w:rsid w:val="007315BA"/>
    <w:rsid w:val="00735A21"/>
    <w:rsid w:val="0074024D"/>
    <w:rsid w:val="00744BA5"/>
    <w:rsid w:val="00747DF2"/>
    <w:rsid w:val="00751E58"/>
    <w:rsid w:val="007520E0"/>
    <w:rsid w:val="00755934"/>
    <w:rsid w:val="00761C59"/>
    <w:rsid w:val="0076783D"/>
    <w:rsid w:val="0077114E"/>
    <w:rsid w:val="00771FB8"/>
    <w:rsid w:val="007726CB"/>
    <w:rsid w:val="0077491E"/>
    <w:rsid w:val="00777DCA"/>
    <w:rsid w:val="00782D69"/>
    <w:rsid w:val="0078641C"/>
    <w:rsid w:val="0079128E"/>
    <w:rsid w:val="00792116"/>
    <w:rsid w:val="00793B87"/>
    <w:rsid w:val="007970A1"/>
    <w:rsid w:val="007A5C09"/>
    <w:rsid w:val="007B0D0C"/>
    <w:rsid w:val="007B0FFE"/>
    <w:rsid w:val="007B3EF2"/>
    <w:rsid w:val="007B5FE5"/>
    <w:rsid w:val="007C1FC8"/>
    <w:rsid w:val="007C203C"/>
    <w:rsid w:val="007C78A4"/>
    <w:rsid w:val="007D0D94"/>
    <w:rsid w:val="007D1417"/>
    <w:rsid w:val="007D1961"/>
    <w:rsid w:val="007D1ED3"/>
    <w:rsid w:val="007D3C2E"/>
    <w:rsid w:val="007D766C"/>
    <w:rsid w:val="007E20EF"/>
    <w:rsid w:val="007E3392"/>
    <w:rsid w:val="007E38E7"/>
    <w:rsid w:val="007E4291"/>
    <w:rsid w:val="007E7D26"/>
    <w:rsid w:val="007F11B8"/>
    <w:rsid w:val="007F20B0"/>
    <w:rsid w:val="007F3248"/>
    <w:rsid w:val="007F405B"/>
    <w:rsid w:val="00800550"/>
    <w:rsid w:val="00802B19"/>
    <w:rsid w:val="00812121"/>
    <w:rsid w:val="00814406"/>
    <w:rsid w:val="00824CC7"/>
    <w:rsid w:val="00834064"/>
    <w:rsid w:val="00834136"/>
    <w:rsid w:val="008414D8"/>
    <w:rsid w:val="00846516"/>
    <w:rsid w:val="00846FD1"/>
    <w:rsid w:val="008528D8"/>
    <w:rsid w:val="008533E6"/>
    <w:rsid w:val="00854C6F"/>
    <w:rsid w:val="008551BC"/>
    <w:rsid w:val="008775B8"/>
    <w:rsid w:val="00877661"/>
    <w:rsid w:val="008901C0"/>
    <w:rsid w:val="008A197C"/>
    <w:rsid w:val="008A4C01"/>
    <w:rsid w:val="008B0D23"/>
    <w:rsid w:val="008B287E"/>
    <w:rsid w:val="008B3778"/>
    <w:rsid w:val="008B5F92"/>
    <w:rsid w:val="008B774E"/>
    <w:rsid w:val="008B7C1F"/>
    <w:rsid w:val="008C37AE"/>
    <w:rsid w:val="008C4AEE"/>
    <w:rsid w:val="008C64D6"/>
    <w:rsid w:val="008D478E"/>
    <w:rsid w:val="008E24DC"/>
    <w:rsid w:val="009045BC"/>
    <w:rsid w:val="00906EDA"/>
    <w:rsid w:val="00907478"/>
    <w:rsid w:val="00907AD7"/>
    <w:rsid w:val="00910A94"/>
    <w:rsid w:val="00911A31"/>
    <w:rsid w:val="00913C6A"/>
    <w:rsid w:val="009179E1"/>
    <w:rsid w:val="00921673"/>
    <w:rsid w:val="00927B31"/>
    <w:rsid w:val="009365D0"/>
    <w:rsid w:val="009402FE"/>
    <w:rsid w:val="00942AF1"/>
    <w:rsid w:val="0094551B"/>
    <w:rsid w:val="00950629"/>
    <w:rsid w:val="00952D5B"/>
    <w:rsid w:val="00955C2A"/>
    <w:rsid w:val="0096288C"/>
    <w:rsid w:val="00964D2B"/>
    <w:rsid w:val="00971004"/>
    <w:rsid w:val="0097230A"/>
    <w:rsid w:val="00972D21"/>
    <w:rsid w:val="00972FCB"/>
    <w:rsid w:val="00975938"/>
    <w:rsid w:val="0098028B"/>
    <w:rsid w:val="00981266"/>
    <w:rsid w:val="0098655D"/>
    <w:rsid w:val="009A0625"/>
    <w:rsid w:val="009A40C7"/>
    <w:rsid w:val="009A59EB"/>
    <w:rsid w:val="009B758C"/>
    <w:rsid w:val="009C2943"/>
    <w:rsid w:val="009C434A"/>
    <w:rsid w:val="009C7A47"/>
    <w:rsid w:val="009D11AC"/>
    <w:rsid w:val="009D4BAE"/>
    <w:rsid w:val="009D6C99"/>
    <w:rsid w:val="009E4BC0"/>
    <w:rsid w:val="009F5B67"/>
    <w:rsid w:val="009F6F93"/>
    <w:rsid w:val="00A0043D"/>
    <w:rsid w:val="00A05880"/>
    <w:rsid w:val="00A061F0"/>
    <w:rsid w:val="00A06FA9"/>
    <w:rsid w:val="00A07964"/>
    <w:rsid w:val="00A22912"/>
    <w:rsid w:val="00A231E3"/>
    <w:rsid w:val="00A24C2F"/>
    <w:rsid w:val="00A2734D"/>
    <w:rsid w:val="00A32B73"/>
    <w:rsid w:val="00A34FD7"/>
    <w:rsid w:val="00A373F5"/>
    <w:rsid w:val="00A41716"/>
    <w:rsid w:val="00A420F1"/>
    <w:rsid w:val="00A423C2"/>
    <w:rsid w:val="00A45166"/>
    <w:rsid w:val="00A46440"/>
    <w:rsid w:val="00A51839"/>
    <w:rsid w:val="00A5197A"/>
    <w:rsid w:val="00A534C7"/>
    <w:rsid w:val="00A56A3D"/>
    <w:rsid w:val="00A5791B"/>
    <w:rsid w:val="00A61820"/>
    <w:rsid w:val="00A64DD1"/>
    <w:rsid w:val="00A65146"/>
    <w:rsid w:val="00A651F0"/>
    <w:rsid w:val="00A671C8"/>
    <w:rsid w:val="00A70DA0"/>
    <w:rsid w:val="00A71BA7"/>
    <w:rsid w:val="00A728B0"/>
    <w:rsid w:val="00A73AC1"/>
    <w:rsid w:val="00A75D11"/>
    <w:rsid w:val="00A77234"/>
    <w:rsid w:val="00A81275"/>
    <w:rsid w:val="00A86212"/>
    <w:rsid w:val="00A95FDA"/>
    <w:rsid w:val="00AA6158"/>
    <w:rsid w:val="00AB1FBB"/>
    <w:rsid w:val="00AB5743"/>
    <w:rsid w:val="00AB5A33"/>
    <w:rsid w:val="00AB61FF"/>
    <w:rsid w:val="00AC75DB"/>
    <w:rsid w:val="00AD0107"/>
    <w:rsid w:val="00AD2AC8"/>
    <w:rsid w:val="00AD4C09"/>
    <w:rsid w:val="00AD6A0F"/>
    <w:rsid w:val="00AD6F4E"/>
    <w:rsid w:val="00AD7BE1"/>
    <w:rsid w:val="00AE1863"/>
    <w:rsid w:val="00AE54ED"/>
    <w:rsid w:val="00AE58AE"/>
    <w:rsid w:val="00AE5E47"/>
    <w:rsid w:val="00AE70A5"/>
    <w:rsid w:val="00AF0C5F"/>
    <w:rsid w:val="00AF2E9B"/>
    <w:rsid w:val="00AF447F"/>
    <w:rsid w:val="00B03F50"/>
    <w:rsid w:val="00B0577F"/>
    <w:rsid w:val="00B05EF0"/>
    <w:rsid w:val="00B0681C"/>
    <w:rsid w:val="00B110E9"/>
    <w:rsid w:val="00B11E39"/>
    <w:rsid w:val="00B12F2A"/>
    <w:rsid w:val="00B1381D"/>
    <w:rsid w:val="00B15DE7"/>
    <w:rsid w:val="00B220B3"/>
    <w:rsid w:val="00B33CA2"/>
    <w:rsid w:val="00B36C2A"/>
    <w:rsid w:val="00B42D9A"/>
    <w:rsid w:val="00B46B99"/>
    <w:rsid w:val="00B536EA"/>
    <w:rsid w:val="00B57B13"/>
    <w:rsid w:val="00B592D3"/>
    <w:rsid w:val="00B63FFE"/>
    <w:rsid w:val="00B65259"/>
    <w:rsid w:val="00B6551D"/>
    <w:rsid w:val="00B66F0C"/>
    <w:rsid w:val="00B74DE4"/>
    <w:rsid w:val="00B823C3"/>
    <w:rsid w:val="00B824DD"/>
    <w:rsid w:val="00B85515"/>
    <w:rsid w:val="00B87DC2"/>
    <w:rsid w:val="00B904E8"/>
    <w:rsid w:val="00B94271"/>
    <w:rsid w:val="00B95401"/>
    <w:rsid w:val="00B97554"/>
    <w:rsid w:val="00B97C4B"/>
    <w:rsid w:val="00BA129F"/>
    <w:rsid w:val="00BA136C"/>
    <w:rsid w:val="00BA272B"/>
    <w:rsid w:val="00BA684C"/>
    <w:rsid w:val="00BA6D45"/>
    <w:rsid w:val="00BB1023"/>
    <w:rsid w:val="00BB16E4"/>
    <w:rsid w:val="00BB2D2A"/>
    <w:rsid w:val="00BB701E"/>
    <w:rsid w:val="00BC1BDC"/>
    <w:rsid w:val="00BC2ABF"/>
    <w:rsid w:val="00BD1707"/>
    <w:rsid w:val="00BD1736"/>
    <w:rsid w:val="00BD5406"/>
    <w:rsid w:val="00BE01C6"/>
    <w:rsid w:val="00BE691D"/>
    <w:rsid w:val="00BF09CC"/>
    <w:rsid w:val="00BF0B90"/>
    <w:rsid w:val="00BF6ADF"/>
    <w:rsid w:val="00BF7FEC"/>
    <w:rsid w:val="00C0181F"/>
    <w:rsid w:val="00C03DAA"/>
    <w:rsid w:val="00C10D89"/>
    <w:rsid w:val="00C13538"/>
    <w:rsid w:val="00C14013"/>
    <w:rsid w:val="00C150BA"/>
    <w:rsid w:val="00C15248"/>
    <w:rsid w:val="00C250B8"/>
    <w:rsid w:val="00C36613"/>
    <w:rsid w:val="00C37AD0"/>
    <w:rsid w:val="00C42BC4"/>
    <w:rsid w:val="00C438B1"/>
    <w:rsid w:val="00C45992"/>
    <w:rsid w:val="00C50F12"/>
    <w:rsid w:val="00C51A5C"/>
    <w:rsid w:val="00C56798"/>
    <w:rsid w:val="00C574B2"/>
    <w:rsid w:val="00C603D3"/>
    <w:rsid w:val="00C62E79"/>
    <w:rsid w:val="00C63620"/>
    <w:rsid w:val="00C707B4"/>
    <w:rsid w:val="00C74858"/>
    <w:rsid w:val="00C81B08"/>
    <w:rsid w:val="00C82A75"/>
    <w:rsid w:val="00C8454E"/>
    <w:rsid w:val="00C84E6B"/>
    <w:rsid w:val="00C855B6"/>
    <w:rsid w:val="00C93C96"/>
    <w:rsid w:val="00CA0419"/>
    <w:rsid w:val="00CB37F3"/>
    <w:rsid w:val="00CB4F4E"/>
    <w:rsid w:val="00CB6A5C"/>
    <w:rsid w:val="00CC38EE"/>
    <w:rsid w:val="00CC3F83"/>
    <w:rsid w:val="00CD1FB3"/>
    <w:rsid w:val="00CD528E"/>
    <w:rsid w:val="00CD5C55"/>
    <w:rsid w:val="00CE3C47"/>
    <w:rsid w:val="00CE4816"/>
    <w:rsid w:val="00CE548F"/>
    <w:rsid w:val="00CF276A"/>
    <w:rsid w:val="00CF2D86"/>
    <w:rsid w:val="00CF4138"/>
    <w:rsid w:val="00CF7F95"/>
    <w:rsid w:val="00D000E5"/>
    <w:rsid w:val="00D023D3"/>
    <w:rsid w:val="00D03747"/>
    <w:rsid w:val="00D10500"/>
    <w:rsid w:val="00D12A01"/>
    <w:rsid w:val="00D1590A"/>
    <w:rsid w:val="00D15EAA"/>
    <w:rsid w:val="00D21F41"/>
    <w:rsid w:val="00D226DB"/>
    <w:rsid w:val="00D24A12"/>
    <w:rsid w:val="00D369DF"/>
    <w:rsid w:val="00D420A4"/>
    <w:rsid w:val="00D43F45"/>
    <w:rsid w:val="00D4440C"/>
    <w:rsid w:val="00D55CA6"/>
    <w:rsid w:val="00D61708"/>
    <w:rsid w:val="00D62685"/>
    <w:rsid w:val="00D66E7B"/>
    <w:rsid w:val="00D71020"/>
    <w:rsid w:val="00D7365E"/>
    <w:rsid w:val="00D83294"/>
    <w:rsid w:val="00D8391A"/>
    <w:rsid w:val="00D83DA1"/>
    <w:rsid w:val="00D94057"/>
    <w:rsid w:val="00D96868"/>
    <w:rsid w:val="00D97A7B"/>
    <w:rsid w:val="00DA0EE8"/>
    <w:rsid w:val="00DA116F"/>
    <w:rsid w:val="00DA7C67"/>
    <w:rsid w:val="00DB1D1D"/>
    <w:rsid w:val="00DB32F0"/>
    <w:rsid w:val="00DB5164"/>
    <w:rsid w:val="00DC0FE3"/>
    <w:rsid w:val="00DC132A"/>
    <w:rsid w:val="00DC1E46"/>
    <w:rsid w:val="00DC28A0"/>
    <w:rsid w:val="00DC7DC3"/>
    <w:rsid w:val="00DD1A9C"/>
    <w:rsid w:val="00DE13CE"/>
    <w:rsid w:val="00DE28E3"/>
    <w:rsid w:val="00DF0908"/>
    <w:rsid w:val="00DF10B0"/>
    <w:rsid w:val="00DF1BAD"/>
    <w:rsid w:val="00DF2896"/>
    <w:rsid w:val="00DF349B"/>
    <w:rsid w:val="00DF5043"/>
    <w:rsid w:val="00E00A84"/>
    <w:rsid w:val="00E01117"/>
    <w:rsid w:val="00E021B7"/>
    <w:rsid w:val="00E0401B"/>
    <w:rsid w:val="00E050C7"/>
    <w:rsid w:val="00E07628"/>
    <w:rsid w:val="00E11B38"/>
    <w:rsid w:val="00E235A9"/>
    <w:rsid w:val="00E239CB"/>
    <w:rsid w:val="00E245A1"/>
    <w:rsid w:val="00E24A04"/>
    <w:rsid w:val="00E265FA"/>
    <w:rsid w:val="00E26640"/>
    <w:rsid w:val="00E310AA"/>
    <w:rsid w:val="00E31DEC"/>
    <w:rsid w:val="00E33C61"/>
    <w:rsid w:val="00E353BE"/>
    <w:rsid w:val="00E41EB8"/>
    <w:rsid w:val="00E4647E"/>
    <w:rsid w:val="00E47CE4"/>
    <w:rsid w:val="00E47F46"/>
    <w:rsid w:val="00E51ECE"/>
    <w:rsid w:val="00E53AA1"/>
    <w:rsid w:val="00E546A3"/>
    <w:rsid w:val="00E57E88"/>
    <w:rsid w:val="00E60E13"/>
    <w:rsid w:val="00E62845"/>
    <w:rsid w:val="00E67744"/>
    <w:rsid w:val="00E703CB"/>
    <w:rsid w:val="00E73110"/>
    <w:rsid w:val="00E74AC5"/>
    <w:rsid w:val="00E80487"/>
    <w:rsid w:val="00E825A5"/>
    <w:rsid w:val="00E83BFA"/>
    <w:rsid w:val="00E8541F"/>
    <w:rsid w:val="00E969A9"/>
    <w:rsid w:val="00EA14B2"/>
    <w:rsid w:val="00EA2484"/>
    <w:rsid w:val="00EB6843"/>
    <w:rsid w:val="00EC66A4"/>
    <w:rsid w:val="00EC73BA"/>
    <w:rsid w:val="00ED0BB4"/>
    <w:rsid w:val="00ED2497"/>
    <w:rsid w:val="00EE0092"/>
    <w:rsid w:val="00EE1410"/>
    <w:rsid w:val="00EE2810"/>
    <w:rsid w:val="00EE6D72"/>
    <w:rsid w:val="00EF03CE"/>
    <w:rsid w:val="00EF217B"/>
    <w:rsid w:val="00F00EA5"/>
    <w:rsid w:val="00F018F1"/>
    <w:rsid w:val="00F02406"/>
    <w:rsid w:val="00F02B43"/>
    <w:rsid w:val="00F041B2"/>
    <w:rsid w:val="00F0443A"/>
    <w:rsid w:val="00F048FB"/>
    <w:rsid w:val="00F162C1"/>
    <w:rsid w:val="00F22A03"/>
    <w:rsid w:val="00F235E0"/>
    <w:rsid w:val="00F27717"/>
    <w:rsid w:val="00F30A53"/>
    <w:rsid w:val="00F457C4"/>
    <w:rsid w:val="00F45F15"/>
    <w:rsid w:val="00F5316A"/>
    <w:rsid w:val="00F55EBE"/>
    <w:rsid w:val="00F62495"/>
    <w:rsid w:val="00F640F4"/>
    <w:rsid w:val="00F654F7"/>
    <w:rsid w:val="00F65B2F"/>
    <w:rsid w:val="00F65ECE"/>
    <w:rsid w:val="00F67649"/>
    <w:rsid w:val="00F70993"/>
    <w:rsid w:val="00F74A34"/>
    <w:rsid w:val="00F74B22"/>
    <w:rsid w:val="00F75061"/>
    <w:rsid w:val="00F82AFD"/>
    <w:rsid w:val="00F84288"/>
    <w:rsid w:val="00F91F97"/>
    <w:rsid w:val="00F972DD"/>
    <w:rsid w:val="00FA11EC"/>
    <w:rsid w:val="00FA57A7"/>
    <w:rsid w:val="00FA7814"/>
    <w:rsid w:val="00FB20B5"/>
    <w:rsid w:val="00FB41BD"/>
    <w:rsid w:val="00FB7D76"/>
    <w:rsid w:val="00FC5A57"/>
    <w:rsid w:val="00FD2056"/>
    <w:rsid w:val="00FD4A7F"/>
    <w:rsid w:val="00FD63DA"/>
    <w:rsid w:val="00FE0170"/>
    <w:rsid w:val="00FE4689"/>
    <w:rsid w:val="00FE508F"/>
    <w:rsid w:val="00FE6C01"/>
    <w:rsid w:val="00FE7BCA"/>
    <w:rsid w:val="00FF58FF"/>
    <w:rsid w:val="00FF6476"/>
    <w:rsid w:val="00FF6638"/>
    <w:rsid w:val="09078110"/>
    <w:rsid w:val="3C3DF1F8"/>
    <w:rsid w:val="46B4B7B0"/>
    <w:rsid w:val="59207D04"/>
    <w:rsid w:val="7FBCD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2905C"/>
  <w15:chartTrackingRefBased/>
  <w15:docId w15:val="{FDDF92C6-176D-4773-8394-3B8D1F2B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0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0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0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0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0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0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0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0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0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0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0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0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0F9"/>
    <w:rPr>
      <w:rFonts w:eastAsiaTheme="majorEastAsia" w:cstheme="majorBidi"/>
      <w:color w:val="272727" w:themeColor="text1" w:themeTint="D8"/>
    </w:rPr>
  </w:style>
  <w:style w:type="paragraph" w:styleId="Title">
    <w:name w:val="Title"/>
    <w:basedOn w:val="Normal"/>
    <w:next w:val="Normal"/>
    <w:link w:val="TitleChar"/>
    <w:uiPriority w:val="10"/>
    <w:qFormat/>
    <w:rsid w:val="001110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0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0F9"/>
    <w:pPr>
      <w:spacing w:before="160"/>
      <w:jc w:val="center"/>
    </w:pPr>
    <w:rPr>
      <w:i/>
      <w:iCs/>
      <w:color w:val="404040" w:themeColor="text1" w:themeTint="BF"/>
    </w:rPr>
  </w:style>
  <w:style w:type="character" w:customStyle="1" w:styleId="QuoteChar">
    <w:name w:val="Quote Char"/>
    <w:basedOn w:val="DefaultParagraphFont"/>
    <w:link w:val="Quote"/>
    <w:uiPriority w:val="29"/>
    <w:rsid w:val="001110F9"/>
    <w:rPr>
      <w:i/>
      <w:iCs/>
      <w:color w:val="404040" w:themeColor="text1" w:themeTint="BF"/>
    </w:rPr>
  </w:style>
  <w:style w:type="paragraph" w:styleId="ListParagraph">
    <w:name w:val="List Paragraph"/>
    <w:basedOn w:val="Normal"/>
    <w:uiPriority w:val="34"/>
    <w:qFormat/>
    <w:rsid w:val="001110F9"/>
    <w:pPr>
      <w:ind w:left="720"/>
      <w:contextualSpacing/>
    </w:pPr>
  </w:style>
  <w:style w:type="character" w:styleId="IntenseEmphasis">
    <w:name w:val="Intense Emphasis"/>
    <w:basedOn w:val="DefaultParagraphFont"/>
    <w:uiPriority w:val="21"/>
    <w:qFormat/>
    <w:rsid w:val="001110F9"/>
    <w:rPr>
      <w:i/>
      <w:iCs/>
      <w:color w:val="0F4761" w:themeColor="accent1" w:themeShade="BF"/>
    </w:rPr>
  </w:style>
  <w:style w:type="paragraph" w:styleId="IntenseQuote">
    <w:name w:val="Intense Quote"/>
    <w:basedOn w:val="Normal"/>
    <w:next w:val="Normal"/>
    <w:link w:val="IntenseQuoteChar"/>
    <w:uiPriority w:val="30"/>
    <w:qFormat/>
    <w:rsid w:val="00111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0F9"/>
    <w:rPr>
      <w:i/>
      <w:iCs/>
      <w:color w:val="0F4761" w:themeColor="accent1" w:themeShade="BF"/>
    </w:rPr>
  </w:style>
  <w:style w:type="character" w:styleId="IntenseReference">
    <w:name w:val="Intense Reference"/>
    <w:basedOn w:val="DefaultParagraphFont"/>
    <w:uiPriority w:val="32"/>
    <w:qFormat/>
    <w:rsid w:val="001110F9"/>
    <w:rPr>
      <w:b/>
      <w:bCs/>
      <w:smallCaps/>
      <w:color w:val="0F4761" w:themeColor="accent1" w:themeShade="BF"/>
      <w:spacing w:val="5"/>
    </w:rPr>
  </w:style>
  <w:style w:type="paragraph" w:styleId="FootnoteText">
    <w:name w:val="footnote text"/>
    <w:basedOn w:val="Normal"/>
    <w:link w:val="FootnoteTextChar"/>
    <w:uiPriority w:val="99"/>
    <w:semiHidden/>
    <w:unhideWhenUsed/>
    <w:qFormat/>
    <w:rsid w:val="003366B0"/>
    <w:pPr>
      <w:spacing w:after="0" w:line="240" w:lineRule="auto"/>
    </w:pPr>
    <w:rPr>
      <w:rFonts w:ascii="Rockwell" w:eastAsia="MS PGothic" w:hAnsi="Rockwell" w:cs="Arial"/>
      <w:kern w:val="0"/>
      <w:sz w:val="20"/>
      <w:szCs w:val="20"/>
      <w14:ligatures w14:val="none"/>
    </w:rPr>
  </w:style>
  <w:style w:type="character" w:customStyle="1" w:styleId="FootnoteTextChar">
    <w:name w:val="Footnote Text Char"/>
    <w:basedOn w:val="DefaultParagraphFont"/>
    <w:link w:val="FootnoteText"/>
    <w:uiPriority w:val="99"/>
    <w:semiHidden/>
    <w:rsid w:val="003366B0"/>
    <w:rPr>
      <w:rFonts w:ascii="Rockwell" w:eastAsia="MS PGothic" w:hAnsi="Rockwell" w:cs="Arial"/>
      <w:kern w:val="0"/>
      <w:sz w:val="20"/>
      <w:szCs w:val="20"/>
      <w14:ligatures w14:val="none"/>
    </w:rPr>
  </w:style>
  <w:style w:type="character" w:styleId="FootnoteReference">
    <w:name w:val="footnote reference"/>
    <w:basedOn w:val="DefaultParagraphFont"/>
    <w:uiPriority w:val="99"/>
    <w:semiHidden/>
    <w:unhideWhenUsed/>
    <w:qFormat/>
    <w:rsid w:val="003366B0"/>
    <w:rPr>
      <w:vertAlign w:val="superscript"/>
    </w:rPr>
  </w:style>
  <w:style w:type="character" w:styleId="Hyperlink">
    <w:name w:val="Hyperlink"/>
    <w:basedOn w:val="DefaultParagraphFont"/>
    <w:uiPriority w:val="99"/>
    <w:unhideWhenUsed/>
    <w:rsid w:val="003366B0"/>
    <w:rPr>
      <w:color w:val="467886" w:themeColor="hyperlink"/>
      <w:u w:val="single"/>
    </w:rPr>
  </w:style>
  <w:style w:type="character" w:styleId="UnresolvedMention">
    <w:name w:val="Unresolved Mention"/>
    <w:basedOn w:val="DefaultParagraphFont"/>
    <w:uiPriority w:val="99"/>
    <w:semiHidden/>
    <w:unhideWhenUsed/>
    <w:rsid w:val="003366B0"/>
    <w:rPr>
      <w:color w:val="605E5C"/>
      <w:shd w:val="clear" w:color="auto" w:fill="E1DFDD"/>
    </w:rPr>
  </w:style>
  <w:style w:type="paragraph" w:styleId="Header">
    <w:name w:val="header"/>
    <w:basedOn w:val="Normal"/>
    <w:link w:val="HeaderChar"/>
    <w:uiPriority w:val="99"/>
    <w:unhideWhenUsed/>
    <w:rsid w:val="00D24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A12"/>
  </w:style>
  <w:style w:type="paragraph" w:styleId="Footer">
    <w:name w:val="footer"/>
    <w:basedOn w:val="Normal"/>
    <w:link w:val="FooterChar"/>
    <w:uiPriority w:val="99"/>
    <w:unhideWhenUsed/>
    <w:rsid w:val="00D24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A12"/>
  </w:style>
  <w:style w:type="character" w:styleId="CommentReference">
    <w:name w:val="annotation reference"/>
    <w:basedOn w:val="DefaultParagraphFont"/>
    <w:uiPriority w:val="99"/>
    <w:semiHidden/>
    <w:unhideWhenUsed/>
    <w:rsid w:val="00CD5C55"/>
    <w:rPr>
      <w:sz w:val="16"/>
      <w:szCs w:val="16"/>
    </w:rPr>
  </w:style>
  <w:style w:type="paragraph" w:styleId="CommentText">
    <w:name w:val="annotation text"/>
    <w:basedOn w:val="Normal"/>
    <w:link w:val="CommentTextChar"/>
    <w:uiPriority w:val="99"/>
    <w:unhideWhenUsed/>
    <w:rsid w:val="00CD5C55"/>
    <w:pPr>
      <w:spacing w:line="240" w:lineRule="auto"/>
    </w:pPr>
    <w:rPr>
      <w:sz w:val="20"/>
      <w:szCs w:val="20"/>
    </w:rPr>
  </w:style>
  <w:style w:type="character" w:customStyle="1" w:styleId="CommentTextChar">
    <w:name w:val="Comment Text Char"/>
    <w:basedOn w:val="DefaultParagraphFont"/>
    <w:link w:val="CommentText"/>
    <w:uiPriority w:val="99"/>
    <w:rsid w:val="00CD5C55"/>
    <w:rPr>
      <w:sz w:val="20"/>
      <w:szCs w:val="20"/>
    </w:rPr>
  </w:style>
  <w:style w:type="paragraph" w:styleId="CommentSubject">
    <w:name w:val="annotation subject"/>
    <w:basedOn w:val="CommentText"/>
    <w:next w:val="CommentText"/>
    <w:link w:val="CommentSubjectChar"/>
    <w:uiPriority w:val="99"/>
    <w:semiHidden/>
    <w:unhideWhenUsed/>
    <w:rsid w:val="00CD5C55"/>
    <w:rPr>
      <w:b/>
      <w:bCs/>
    </w:rPr>
  </w:style>
  <w:style w:type="character" w:customStyle="1" w:styleId="CommentSubjectChar">
    <w:name w:val="Comment Subject Char"/>
    <w:basedOn w:val="CommentTextChar"/>
    <w:link w:val="CommentSubject"/>
    <w:uiPriority w:val="99"/>
    <w:semiHidden/>
    <w:rsid w:val="00CD5C55"/>
    <w:rPr>
      <w:b/>
      <w:bCs/>
      <w:sz w:val="20"/>
      <w:szCs w:val="20"/>
    </w:rPr>
  </w:style>
  <w:style w:type="paragraph" w:styleId="Revision">
    <w:name w:val="Revision"/>
    <w:hidden/>
    <w:uiPriority w:val="99"/>
    <w:semiHidden/>
    <w:rsid w:val="00474482"/>
    <w:pPr>
      <w:spacing w:after="0" w:line="240" w:lineRule="auto"/>
    </w:pPr>
  </w:style>
  <w:style w:type="character" w:styleId="Mention">
    <w:name w:val="Mention"/>
    <w:basedOn w:val="DefaultParagraphFont"/>
    <w:uiPriority w:val="99"/>
    <w:unhideWhenUsed/>
    <w:rsid w:val="00145DC2"/>
    <w:rPr>
      <w:color w:val="2B579A"/>
      <w:shd w:val="clear" w:color="auto" w:fill="E1DFDD"/>
    </w:rPr>
  </w:style>
  <w:style w:type="paragraph" w:styleId="EndnoteText">
    <w:name w:val="endnote text"/>
    <w:basedOn w:val="Normal"/>
    <w:link w:val="EndnoteTextChar"/>
    <w:uiPriority w:val="99"/>
    <w:semiHidden/>
    <w:unhideWhenUsed/>
    <w:rsid w:val="00D9686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6868"/>
    <w:rPr>
      <w:sz w:val="20"/>
      <w:szCs w:val="20"/>
    </w:rPr>
  </w:style>
  <w:style w:type="character" w:styleId="EndnoteReference">
    <w:name w:val="endnote reference"/>
    <w:basedOn w:val="DefaultParagraphFont"/>
    <w:uiPriority w:val="99"/>
    <w:semiHidden/>
    <w:unhideWhenUsed/>
    <w:rsid w:val="00D968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4159">
      <w:bodyDiv w:val="1"/>
      <w:marLeft w:val="0"/>
      <w:marRight w:val="0"/>
      <w:marTop w:val="0"/>
      <w:marBottom w:val="0"/>
      <w:divBdr>
        <w:top w:val="none" w:sz="0" w:space="0" w:color="auto"/>
        <w:left w:val="none" w:sz="0" w:space="0" w:color="auto"/>
        <w:bottom w:val="none" w:sz="0" w:space="0" w:color="auto"/>
        <w:right w:val="none" w:sz="0" w:space="0" w:color="auto"/>
      </w:divBdr>
    </w:div>
    <w:div w:id="223150356">
      <w:bodyDiv w:val="1"/>
      <w:marLeft w:val="0"/>
      <w:marRight w:val="0"/>
      <w:marTop w:val="0"/>
      <w:marBottom w:val="0"/>
      <w:divBdr>
        <w:top w:val="none" w:sz="0" w:space="0" w:color="auto"/>
        <w:left w:val="none" w:sz="0" w:space="0" w:color="auto"/>
        <w:bottom w:val="none" w:sz="0" w:space="0" w:color="auto"/>
        <w:right w:val="none" w:sz="0" w:space="0" w:color="auto"/>
      </w:divBdr>
    </w:div>
    <w:div w:id="482310496">
      <w:bodyDiv w:val="1"/>
      <w:marLeft w:val="0"/>
      <w:marRight w:val="0"/>
      <w:marTop w:val="0"/>
      <w:marBottom w:val="0"/>
      <w:divBdr>
        <w:top w:val="none" w:sz="0" w:space="0" w:color="auto"/>
        <w:left w:val="none" w:sz="0" w:space="0" w:color="auto"/>
        <w:bottom w:val="none" w:sz="0" w:space="0" w:color="auto"/>
        <w:right w:val="none" w:sz="0" w:space="0" w:color="auto"/>
      </w:divBdr>
    </w:div>
    <w:div w:id="597375368">
      <w:bodyDiv w:val="1"/>
      <w:marLeft w:val="0"/>
      <w:marRight w:val="0"/>
      <w:marTop w:val="0"/>
      <w:marBottom w:val="0"/>
      <w:divBdr>
        <w:top w:val="none" w:sz="0" w:space="0" w:color="auto"/>
        <w:left w:val="none" w:sz="0" w:space="0" w:color="auto"/>
        <w:bottom w:val="none" w:sz="0" w:space="0" w:color="auto"/>
        <w:right w:val="none" w:sz="0" w:space="0" w:color="auto"/>
      </w:divBdr>
    </w:div>
    <w:div w:id="669254420">
      <w:bodyDiv w:val="1"/>
      <w:marLeft w:val="0"/>
      <w:marRight w:val="0"/>
      <w:marTop w:val="0"/>
      <w:marBottom w:val="0"/>
      <w:divBdr>
        <w:top w:val="none" w:sz="0" w:space="0" w:color="auto"/>
        <w:left w:val="none" w:sz="0" w:space="0" w:color="auto"/>
        <w:bottom w:val="none" w:sz="0" w:space="0" w:color="auto"/>
        <w:right w:val="none" w:sz="0" w:space="0" w:color="auto"/>
      </w:divBdr>
    </w:div>
    <w:div w:id="723673150">
      <w:bodyDiv w:val="1"/>
      <w:marLeft w:val="0"/>
      <w:marRight w:val="0"/>
      <w:marTop w:val="0"/>
      <w:marBottom w:val="0"/>
      <w:divBdr>
        <w:top w:val="none" w:sz="0" w:space="0" w:color="auto"/>
        <w:left w:val="none" w:sz="0" w:space="0" w:color="auto"/>
        <w:bottom w:val="none" w:sz="0" w:space="0" w:color="auto"/>
        <w:right w:val="none" w:sz="0" w:space="0" w:color="auto"/>
      </w:divBdr>
    </w:div>
    <w:div w:id="809713375">
      <w:bodyDiv w:val="1"/>
      <w:marLeft w:val="0"/>
      <w:marRight w:val="0"/>
      <w:marTop w:val="0"/>
      <w:marBottom w:val="0"/>
      <w:divBdr>
        <w:top w:val="none" w:sz="0" w:space="0" w:color="auto"/>
        <w:left w:val="none" w:sz="0" w:space="0" w:color="auto"/>
        <w:bottom w:val="none" w:sz="0" w:space="0" w:color="auto"/>
        <w:right w:val="none" w:sz="0" w:space="0" w:color="auto"/>
      </w:divBdr>
    </w:div>
    <w:div w:id="822740480">
      <w:bodyDiv w:val="1"/>
      <w:marLeft w:val="0"/>
      <w:marRight w:val="0"/>
      <w:marTop w:val="0"/>
      <w:marBottom w:val="0"/>
      <w:divBdr>
        <w:top w:val="none" w:sz="0" w:space="0" w:color="auto"/>
        <w:left w:val="none" w:sz="0" w:space="0" w:color="auto"/>
        <w:bottom w:val="none" w:sz="0" w:space="0" w:color="auto"/>
        <w:right w:val="none" w:sz="0" w:space="0" w:color="auto"/>
      </w:divBdr>
    </w:div>
    <w:div w:id="1089354092">
      <w:bodyDiv w:val="1"/>
      <w:marLeft w:val="0"/>
      <w:marRight w:val="0"/>
      <w:marTop w:val="0"/>
      <w:marBottom w:val="0"/>
      <w:divBdr>
        <w:top w:val="none" w:sz="0" w:space="0" w:color="auto"/>
        <w:left w:val="none" w:sz="0" w:space="0" w:color="auto"/>
        <w:bottom w:val="none" w:sz="0" w:space="0" w:color="auto"/>
        <w:right w:val="none" w:sz="0" w:space="0" w:color="auto"/>
      </w:divBdr>
    </w:div>
    <w:div w:id="1155342294">
      <w:bodyDiv w:val="1"/>
      <w:marLeft w:val="0"/>
      <w:marRight w:val="0"/>
      <w:marTop w:val="0"/>
      <w:marBottom w:val="0"/>
      <w:divBdr>
        <w:top w:val="none" w:sz="0" w:space="0" w:color="auto"/>
        <w:left w:val="none" w:sz="0" w:space="0" w:color="auto"/>
        <w:bottom w:val="none" w:sz="0" w:space="0" w:color="auto"/>
        <w:right w:val="none" w:sz="0" w:space="0" w:color="auto"/>
      </w:divBdr>
    </w:div>
    <w:div w:id="1331103455">
      <w:bodyDiv w:val="1"/>
      <w:marLeft w:val="0"/>
      <w:marRight w:val="0"/>
      <w:marTop w:val="0"/>
      <w:marBottom w:val="0"/>
      <w:divBdr>
        <w:top w:val="none" w:sz="0" w:space="0" w:color="auto"/>
        <w:left w:val="none" w:sz="0" w:space="0" w:color="auto"/>
        <w:bottom w:val="none" w:sz="0" w:space="0" w:color="auto"/>
        <w:right w:val="none" w:sz="0" w:space="0" w:color="auto"/>
      </w:divBdr>
    </w:div>
    <w:div w:id="1363827938">
      <w:bodyDiv w:val="1"/>
      <w:marLeft w:val="0"/>
      <w:marRight w:val="0"/>
      <w:marTop w:val="0"/>
      <w:marBottom w:val="0"/>
      <w:divBdr>
        <w:top w:val="none" w:sz="0" w:space="0" w:color="auto"/>
        <w:left w:val="none" w:sz="0" w:space="0" w:color="auto"/>
        <w:bottom w:val="none" w:sz="0" w:space="0" w:color="auto"/>
        <w:right w:val="none" w:sz="0" w:space="0" w:color="auto"/>
      </w:divBdr>
    </w:div>
    <w:div w:id="1404062601">
      <w:bodyDiv w:val="1"/>
      <w:marLeft w:val="0"/>
      <w:marRight w:val="0"/>
      <w:marTop w:val="0"/>
      <w:marBottom w:val="0"/>
      <w:divBdr>
        <w:top w:val="none" w:sz="0" w:space="0" w:color="auto"/>
        <w:left w:val="none" w:sz="0" w:space="0" w:color="auto"/>
        <w:bottom w:val="none" w:sz="0" w:space="0" w:color="auto"/>
        <w:right w:val="none" w:sz="0" w:space="0" w:color="auto"/>
      </w:divBdr>
    </w:div>
    <w:div w:id="1507478905">
      <w:bodyDiv w:val="1"/>
      <w:marLeft w:val="0"/>
      <w:marRight w:val="0"/>
      <w:marTop w:val="0"/>
      <w:marBottom w:val="0"/>
      <w:divBdr>
        <w:top w:val="none" w:sz="0" w:space="0" w:color="auto"/>
        <w:left w:val="none" w:sz="0" w:space="0" w:color="auto"/>
        <w:bottom w:val="none" w:sz="0" w:space="0" w:color="auto"/>
        <w:right w:val="none" w:sz="0" w:space="0" w:color="auto"/>
      </w:divBdr>
    </w:div>
    <w:div w:id="1519348586">
      <w:bodyDiv w:val="1"/>
      <w:marLeft w:val="0"/>
      <w:marRight w:val="0"/>
      <w:marTop w:val="0"/>
      <w:marBottom w:val="0"/>
      <w:divBdr>
        <w:top w:val="none" w:sz="0" w:space="0" w:color="auto"/>
        <w:left w:val="none" w:sz="0" w:space="0" w:color="auto"/>
        <w:bottom w:val="none" w:sz="0" w:space="0" w:color="auto"/>
        <w:right w:val="none" w:sz="0" w:space="0" w:color="auto"/>
      </w:divBdr>
    </w:div>
    <w:div w:id="1558129494">
      <w:bodyDiv w:val="1"/>
      <w:marLeft w:val="0"/>
      <w:marRight w:val="0"/>
      <w:marTop w:val="0"/>
      <w:marBottom w:val="0"/>
      <w:divBdr>
        <w:top w:val="none" w:sz="0" w:space="0" w:color="auto"/>
        <w:left w:val="none" w:sz="0" w:space="0" w:color="auto"/>
        <w:bottom w:val="none" w:sz="0" w:space="0" w:color="auto"/>
        <w:right w:val="none" w:sz="0" w:space="0" w:color="auto"/>
      </w:divBdr>
    </w:div>
    <w:div w:id="1930845701">
      <w:bodyDiv w:val="1"/>
      <w:marLeft w:val="0"/>
      <w:marRight w:val="0"/>
      <w:marTop w:val="0"/>
      <w:marBottom w:val="0"/>
      <w:divBdr>
        <w:top w:val="none" w:sz="0" w:space="0" w:color="auto"/>
        <w:left w:val="none" w:sz="0" w:space="0" w:color="auto"/>
        <w:bottom w:val="none" w:sz="0" w:space="0" w:color="auto"/>
        <w:right w:val="none" w:sz="0" w:space="0" w:color="auto"/>
      </w:divBdr>
    </w:div>
    <w:div w:id="207519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www.justice.gov/ovw/media/1352371/dl?inline__;!!I47Zg8fJQnY!aea9N1-eIDJKJmL3UU_ETlZC5F1GCEeXfiRZXBMt90wviD_2VeQRX-hDeNALuGBKSEC_b0SLgoQkc-2szGL4wp-T1IxDkdMw--upSPY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justice.gov/ovw/prosecutor-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EF02D-9D68-1542-9771-3104328F145E}">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2491</Words>
  <Characters>14199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16657</CharactersWithSpaces>
  <SharedDoc>false</SharedDoc>
  <HLinks>
    <vt:vector size="18" baseType="variant">
      <vt:variant>
        <vt:i4>1179648</vt:i4>
      </vt:variant>
      <vt:variant>
        <vt:i4>6</vt:i4>
      </vt:variant>
      <vt:variant>
        <vt:i4>0</vt:i4>
      </vt:variant>
      <vt:variant>
        <vt:i4>5</vt:i4>
      </vt:variant>
      <vt:variant>
        <vt:lpwstr>https://www.justice.gov/ovw/prosecutor-guide</vt:lpwstr>
      </vt:variant>
      <vt:variant>
        <vt:lpwstr/>
      </vt:variant>
      <vt:variant>
        <vt:i4>1048699</vt:i4>
      </vt:variant>
      <vt:variant>
        <vt:i4>3</vt:i4>
      </vt:variant>
      <vt:variant>
        <vt:i4>0</vt:i4>
      </vt:variant>
      <vt:variant>
        <vt:i4>5</vt:i4>
      </vt:variant>
      <vt:variant>
        <vt:lpwstr>https://urldefense.com/v3/__https:/www.justice.gov/ovw/media/1352371/dl?inline__;!!I47Zg8fJQnY!aea9N1-eIDJKJmL3UU_ETlZC5F1GCEeXfiRZXBMt90wviD_2VeQRX-hDeNALuGBKSEC_b0SLgoQkc-2szGL4wp-T1IxDkdMw--upSPYs$</vt:lpwstr>
      </vt:variant>
      <vt:variant>
        <vt:lpwstr/>
      </vt:variant>
      <vt:variant>
        <vt:i4>1048699</vt:i4>
      </vt:variant>
      <vt:variant>
        <vt:i4>0</vt:i4>
      </vt:variant>
      <vt:variant>
        <vt:i4>0</vt:i4>
      </vt:variant>
      <vt:variant>
        <vt:i4>5</vt:i4>
      </vt:variant>
      <vt:variant>
        <vt:lpwstr>https://urldefense.com/v3/__https:/www.justice.gov/ovw/media/1352371/dl?inline__;!!I47Zg8fJQnY!aea9N1-eIDJKJmL3UU_ETlZC5F1GCEeXfiRZXBMt90wviD_2VeQRX-hDeNALuGBKSEC_b0SLgoQkc-2szGL4wp-T1IxDkdMw--upSPYs$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 Fara (OVW)</dc:creator>
  <cp:keywords/>
  <dc:description/>
  <cp:lastModifiedBy>Kvatum, Lia (OVW) (CTR)</cp:lastModifiedBy>
  <cp:revision>2</cp:revision>
  <dcterms:created xsi:type="dcterms:W3CDTF">2026-05-12T14:33:00Z</dcterms:created>
  <dcterms:modified xsi:type="dcterms:W3CDTF">2026-05-12T14:33:00Z</dcterms:modified>
</cp:coreProperties>
</file>