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9FD54" w14:textId="005AF3A2" w:rsidR="002D30EA" w:rsidRDefault="006A1C13" w:rsidP="008B5FA2">
      <w:pPr>
        <w:autoSpaceDE w:val="0"/>
        <w:autoSpaceDN w:val="0"/>
        <w:adjustRightInd w:val="0"/>
        <w:ind w:firstLine="720"/>
        <w:jc w:val="both"/>
        <w:rPr>
          <w:rFonts w:ascii="TimesNewRomanPSMT" w:hAnsi="TimesNewRomanPSMT" w:cs="TimesNewRomanPSMT"/>
          <w:kern w:val="0"/>
        </w:rPr>
      </w:pPr>
      <w:r>
        <w:rPr>
          <w:rFonts w:ascii="TimesNewRomanPSMT" w:hAnsi="TimesNewRomanPSMT" w:cs="TimesNewRomanPSMT"/>
          <w:kern w:val="0"/>
        </w:rPr>
        <w:t xml:space="preserve">On December 23, 2024, the </w:t>
      </w:r>
      <w:r w:rsidR="002D58A5">
        <w:rPr>
          <w:rFonts w:ascii="TimesNewRomanPSMT" w:hAnsi="TimesNewRomanPSMT" w:cs="TimesNewRomanPSMT"/>
          <w:kern w:val="0"/>
        </w:rPr>
        <w:t>Court</w:t>
      </w:r>
      <w:r>
        <w:rPr>
          <w:rFonts w:ascii="TimesNewRomanPSMT" w:hAnsi="TimesNewRomanPSMT" w:cs="TimesNewRomanPSMT"/>
          <w:kern w:val="0"/>
        </w:rPr>
        <w:t xml:space="preserve"> issued a Memorandum Opinion</w:t>
      </w:r>
      <w:r w:rsidR="004F74F2">
        <w:rPr>
          <w:rFonts w:ascii="TimesNewRomanPSMT" w:hAnsi="TimesNewRomanPSMT" w:cs="TimesNewRomanPSMT"/>
          <w:kern w:val="0"/>
        </w:rPr>
        <w:t xml:space="preserve"> and written Order </w:t>
      </w:r>
      <w:r>
        <w:rPr>
          <w:rFonts w:ascii="TimesNewRomanPSMT" w:hAnsi="TimesNewRomanPSMT" w:cs="TimesNewRomanPSMT"/>
          <w:kern w:val="0"/>
        </w:rPr>
        <w:t xml:space="preserve">concerning the government’s </w:t>
      </w:r>
      <w:r w:rsidR="004F74F2">
        <w:rPr>
          <w:rFonts w:ascii="TimesNewRomanPSMT" w:hAnsi="TimesNewRomanPSMT" w:cs="TimesNewRomanPSMT"/>
          <w:kern w:val="0"/>
        </w:rPr>
        <w:t>“</w:t>
      </w:r>
      <w:r>
        <w:rPr>
          <w:rFonts w:ascii="TimesNewRomanPSMT" w:hAnsi="TimesNewRomanPSMT" w:cs="TimesNewRomanPSMT"/>
          <w:kern w:val="0"/>
        </w:rPr>
        <w:t>Motion to Afford Victims Remote Video and Telephonic Access to all Court Proceedings in this Case</w:t>
      </w:r>
      <w:r w:rsidR="002D58A5">
        <w:rPr>
          <w:rFonts w:ascii="TimesNewRomanPSMT" w:hAnsi="TimesNewRomanPSMT" w:cs="TimesNewRomanPSMT"/>
          <w:kern w:val="0"/>
        </w:rPr>
        <w:t>,</w:t>
      </w:r>
      <w:r w:rsidR="004F74F2">
        <w:rPr>
          <w:rFonts w:ascii="TimesNewRomanPSMT" w:hAnsi="TimesNewRomanPSMT" w:cs="TimesNewRomanPSMT"/>
          <w:kern w:val="0"/>
        </w:rPr>
        <w:t xml:space="preserve">” which </w:t>
      </w:r>
      <w:r w:rsidR="002D58A5">
        <w:rPr>
          <w:rFonts w:ascii="TimesNewRomanPSMT" w:hAnsi="TimesNewRomanPSMT" w:cs="TimesNewRomanPSMT"/>
          <w:kern w:val="0"/>
        </w:rPr>
        <w:t>the government filed on May 31</w:t>
      </w:r>
      <w:r w:rsidR="00143A9F">
        <w:rPr>
          <w:rFonts w:ascii="TimesNewRomanPSMT" w:hAnsi="TimesNewRomanPSMT" w:cs="TimesNewRomanPSMT"/>
          <w:kern w:val="0"/>
        </w:rPr>
        <w:t>, 2024</w:t>
      </w:r>
      <w:r>
        <w:rPr>
          <w:rFonts w:ascii="TimesNewRomanPSMT" w:hAnsi="TimesNewRomanPSMT" w:cs="TimesNewRomanPSMT"/>
          <w:kern w:val="0"/>
        </w:rPr>
        <w:t xml:space="preserve">.  </w:t>
      </w:r>
      <w:r w:rsidR="000D2215">
        <w:rPr>
          <w:rFonts w:ascii="TimesNewRomanPSMT" w:hAnsi="TimesNewRomanPSMT" w:cs="TimesNewRomanPSMT"/>
          <w:kern w:val="0"/>
        </w:rPr>
        <w:t>T</w:t>
      </w:r>
      <w:r w:rsidR="00143A9F">
        <w:rPr>
          <w:rFonts w:ascii="TimesNewRomanPSMT" w:hAnsi="TimesNewRomanPSMT" w:cs="TimesNewRomanPSMT"/>
          <w:kern w:val="0"/>
        </w:rPr>
        <w:t xml:space="preserve">he Court granted </w:t>
      </w:r>
      <w:r w:rsidR="008B5FA2">
        <w:rPr>
          <w:rFonts w:ascii="TimesNewRomanPSMT" w:hAnsi="TimesNewRomanPSMT" w:cs="TimesNewRomanPSMT"/>
          <w:kern w:val="0"/>
        </w:rPr>
        <w:t>the government’s</w:t>
      </w:r>
      <w:r w:rsidR="00143A9F">
        <w:rPr>
          <w:rFonts w:ascii="TimesNewRomanPSMT" w:hAnsi="TimesNewRomanPSMT" w:cs="TimesNewRomanPSMT"/>
          <w:kern w:val="0"/>
        </w:rPr>
        <w:t xml:space="preserve"> motion in </w:t>
      </w:r>
      <w:r w:rsidR="005863B8">
        <w:rPr>
          <w:rFonts w:ascii="TimesNewRomanPSMT" w:hAnsi="TimesNewRomanPSMT" w:cs="TimesNewRomanPSMT"/>
          <w:kern w:val="0"/>
        </w:rPr>
        <w:t>part but</w:t>
      </w:r>
      <w:r w:rsidR="00143A9F">
        <w:rPr>
          <w:rFonts w:ascii="TimesNewRomanPSMT" w:hAnsi="TimesNewRomanPSMT" w:cs="TimesNewRomanPSMT"/>
          <w:kern w:val="0"/>
        </w:rPr>
        <w:t xml:space="preserve"> denied a portion of it as well. The Cour</w:t>
      </w:r>
      <w:r w:rsidR="005863B8">
        <w:rPr>
          <w:rFonts w:ascii="TimesNewRomanPSMT" w:hAnsi="TimesNewRomanPSMT" w:cs="TimesNewRomanPSMT"/>
          <w:kern w:val="0"/>
        </w:rPr>
        <w:t xml:space="preserve">t </w:t>
      </w:r>
      <w:r w:rsidR="00143A9F">
        <w:rPr>
          <w:rFonts w:ascii="TimesNewRomanPSMT" w:hAnsi="TimesNewRomanPSMT" w:cs="TimesNewRomanPSMT"/>
          <w:kern w:val="0"/>
        </w:rPr>
        <w:t>rul</w:t>
      </w:r>
      <w:r w:rsidR="005863B8">
        <w:rPr>
          <w:rFonts w:ascii="TimesNewRomanPSMT" w:hAnsi="TimesNewRomanPSMT" w:cs="TimesNewRomanPSMT"/>
          <w:kern w:val="0"/>
        </w:rPr>
        <w:t xml:space="preserve">ed </w:t>
      </w:r>
      <w:r w:rsidR="00143A9F">
        <w:rPr>
          <w:rFonts w:ascii="TimesNewRomanPSMT" w:hAnsi="TimesNewRomanPSMT" w:cs="TimesNewRomanPSMT"/>
          <w:kern w:val="0"/>
        </w:rPr>
        <w:t xml:space="preserve">as follows. </w:t>
      </w:r>
    </w:p>
    <w:p w14:paraId="3FFB92F9" w14:textId="77777777" w:rsidR="002D30EA" w:rsidRDefault="002D30EA" w:rsidP="008B5FA2">
      <w:pPr>
        <w:autoSpaceDE w:val="0"/>
        <w:autoSpaceDN w:val="0"/>
        <w:adjustRightInd w:val="0"/>
        <w:ind w:firstLine="720"/>
        <w:jc w:val="both"/>
        <w:rPr>
          <w:rFonts w:ascii="TimesNewRomanPSMT" w:hAnsi="TimesNewRomanPSMT" w:cs="TimesNewRomanPSMT"/>
          <w:kern w:val="0"/>
        </w:rPr>
      </w:pPr>
    </w:p>
    <w:p w14:paraId="60CDDA38" w14:textId="23CFFEED" w:rsidR="00143A9F" w:rsidRPr="00143A9F" w:rsidRDefault="002D30EA" w:rsidP="008B5FA2">
      <w:pPr>
        <w:autoSpaceDE w:val="0"/>
        <w:autoSpaceDN w:val="0"/>
        <w:adjustRightInd w:val="0"/>
        <w:jc w:val="center"/>
        <w:rPr>
          <w:rFonts w:ascii="TimesNewRomanPSMT" w:hAnsi="TimesNewRomanPSMT" w:cs="TimesNewRomanPSMT"/>
          <w:b/>
          <w:bCs/>
          <w:kern w:val="0"/>
        </w:rPr>
      </w:pPr>
      <w:r w:rsidRPr="00143A9F">
        <w:rPr>
          <w:rFonts w:ascii="TimesNewRomanPSMT" w:hAnsi="TimesNewRomanPSMT" w:cs="TimesNewRomanPSMT"/>
          <w:b/>
          <w:bCs/>
          <w:kern w:val="0"/>
        </w:rPr>
        <w:t>Pretrial Non-Testimonial Proceeding</w:t>
      </w:r>
      <w:r w:rsidR="00143A9F" w:rsidRPr="00143A9F">
        <w:rPr>
          <w:rFonts w:ascii="TimesNewRomanPSMT" w:hAnsi="TimesNewRomanPSMT" w:cs="TimesNewRomanPSMT"/>
          <w:b/>
          <w:bCs/>
          <w:kern w:val="0"/>
        </w:rPr>
        <w:t>s</w:t>
      </w:r>
    </w:p>
    <w:p w14:paraId="56F2308B" w14:textId="77777777" w:rsidR="00143A9F" w:rsidRDefault="00143A9F" w:rsidP="008B5FA2">
      <w:pPr>
        <w:autoSpaceDE w:val="0"/>
        <w:autoSpaceDN w:val="0"/>
        <w:adjustRightInd w:val="0"/>
        <w:ind w:firstLine="720"/>
        <w:jc w:val="both"/>
        <w:rPr>
          <w:rFonts w:ascii="TimesNewRomanPSMT" w:hAnsi="TimesNewRomanPSMT" w:cs="TimesNewRomanPSMT"/>
          <w:kern w:val="0"/>
        </w:rPr>
      </w:pPr>
    </w:p>
    <w:p w14:paraId="5FD491B5" w14:textId="00E8ED2F" w:rsidR="002D30EA" w:rsidRDefault="006A1C13" w:rsidP="008B5FA2">
      <w:pPr>
        <w:autoSpaceDE w:val="0"/>
        <w:autoSpaceDN w:val="0"/>
        <w:adjustRightInd w:val="0"/>
        <w:ind w:firstLine="720"/>
        <w:jc w:val="both"/>
        <w:rPr>
          <w:rFonts w:ascii="TimesNewRomanPSMT" w:hAnsi="TimesNewRomanPSMT" w:cs="TimesNewRomanPSMT"/>
          <w:kern w:val="0"/>
        </w:rPr>
      </w:pPr>
      <w:r>
        <w:rPr>
          <w:rFonts w:ascii="TimesNewRomanPSMT" w:hAnsi="TimesNewRomanPSMT" w:cs="TimesNewRomanPSMT"/>
          <w:kern w:val="0"/>
        </w:rPr>
        <w:t>The Court granted the government’s request for the Court to u</w:t>
      </w:r>
      <w:r w:rsidR="00143A9F">
        <w:rPr>
          <w:rFonts w:ascii="TimesNewRomanPSMT" w:hAnsi="TimesNewRomanPSMT" w:cs="TimesNewRomanPSMT"/>
          <w:kern w:val="0"/>
        </w:rPr>
        <w:t>se</w:t>
      </w:r>
      <w:r>
        <w:rPr>
          <w:rFonts w:ascii="TimesNewRomanPSMT" w:hAnsi="TimesNewRomanPSMT" w:cs="TimesNewRomanPSMT"/>
          <w:kern w:val="0"/>
        </w:rPr>
        <w:t xml:space="preserve"> the “Zoom for Government” (ZFG) platform for all pretrial, non-testimonial hearings</w:t>
      </w:r>
      <w:r w:rsidR="002D30EA">
        <w:rPr>
          <w:rFonts w:ascii="TimesNewRomanPSMT" w:hAnsi="TimesNewRomanPSMT" w:cs="TimesNewRomanPSMT"/>
          <w:kern w:val="0"/>
        </w:rPr>
        <w:t xml:space="preserve">. </w:t>
      </w:r>
      <w:r w:rsidR="00143A9F">
        <w:rPr>
          <w:rFonts w:ascii="TimesNewRomanPSMT" w:hAnsi="TimesNewRomanPSMT" w:cs="TimesNewRomanPSMT"/>
          <w:kern w:val="0"/>
        </w:rPr>
        <w:t xml:space="preserve">This means that you will be able to listen and watch all pretrial hearings </w:t>
      </w:r>
      <w:r w:rsidR="005863B8">
        <w:rPr>
          <w:rFonts w:ascii="TimesNewRomanPSMT" w:hAnsi="TimesNewRomanPSMT" w:cs="TimesNewRomanPSMT"/>
          <w:kern w:val="0"/>
        </w:rPr>
        <w:t xml:space="preserve">on your computers, telephones, or personal remote devices </w:t>
      </w:r>
      <w:r w:rsidR="00143A9F">
        <w:rPr>
          <w:rFonts w:ascii="TimesNewRomanPSMT" w:hAnsi="TimesNewRomanPSMT" w:cs="TimesNewRomanPSMT"/>
          <w:kern w:val="0"/>
        </w:rPr>
        <w:t>from wherever you are located</w:t>
      </w:r>
      <w:r w:rsidR="005863B8">
        <w:rPr>
          <w:rFonts w:ascii="TimesNewRomanPSMT" w:hAnsi="TimesNewRomanPSMT" w:cs="TimesNewRomanPSMT"/>
          <w:kern w:val="0"/>
        </w:rPr>
        <w:t>,</w:t>
      </w:r>
      <w:r w:rsidR="004C6252">
        <w:rPr>
          <w:rFonts w:ascii="TimesNewRomanPSMT" w:hAnsi="TimesNewRomanPSMT" w:cs="TimesNewRomanPSMT"/>
          <w:kern w:val="0"/>
        </w:rPr>
        <w:t xml:space="preserve"> with </w:t>
      </w:r>
      <w:r w:rsidR="005863B8">
        <w:rPr>
          <w:rFonts w:ascii="TimesNewRomanPSMT" w:hAnsi="TimesNewRomanPSMT" w:cs="TimesNewRomanPSMT"/>
          <w:kern w:val="0"/>
        </w:rPr>
        <w:t xml:space="preserve">specific </w:t>
      </w:r>
      <w:r w:rsidR="004C6252">
        <w:rPr>
          <w:rFonts w:ascii="TimesNewRomanPSMT" w:hAnsi="TimesNewRomanPSMT" w:cs="TimesNewRomanPSMT"/>
          <w:kern w:val="0"/>
        </w:rPr>
        <w:t xml:space="preserve">safeguards. </w:t>
      </w:r>
      <w:r w:rsidR="002D30EA">
        <w:rPr>
          <w:rFonts w:ascii="TimesNewRomanPSMT" w:hAnsi="TimesNewRomanPSMT" w:cs="TimesNewRomanPSMT"/>
          <w:kern w:val="0"/>
        </w:rPr>
        <w:t>The government will be required to use the Court’s remote monitors to implement this process. Th</w:t>
      </w:r>
      <w:r w:rsidR="002D30EA" w:rsidRPr="002D30EA">
        <w:rPr>
          <w:rFonts w:ascii="TimesNewRomanPSMT" w:hAnsi="TimesNewRomanPSMT" w:cs="TimesNewRomanPSMT"/>
          <w:kern w:val="0"/>
        </w:rPr>
        <w:t>e Court direct</w:t>
      </w:r>
      <w:r w:rsidR="002D30EA">
        <w:rPr>
          <w:rFonts w:ascii="TimesNewRomanPSMT" w:hAnsi="TimesNewRomanPSMT" w:cs="TimesNewRomanPSMT"/>
          <w:kern w:val="0"/>
        </w:rPr>
        <w:t>ed</w:t>
      </w:r>
      <w:r w:rsidR="002D30EA" w:rsidRPr="002D30EA">
        <w:rPr>
          <w:rFonts w:ascii="TimesNewRomanPSMT" w:hAnsi="TimesNewRomanPSMT" w:cs="TimesNewRomanPSMT"/>
          <w:kern w:val="0"/>
        </w:rPr>
        <w:t xml:space="preserve"> the government to take proactive measures to</w:t>
      </w:r>
      <w:r w:rsidR="004C6252">
        <w:rPr>
          <w:rFonts w:ascii="TimesNewRomanPSMT" w:hAnsi="TimesNewRomanPSMT" w:cs="TimesNewRomanPSMT"/>
          <w:kern w:val="0"/>
        </w:rPr>
        <w:t xml:space="preserve">: (1) </w:t>
      </w:r>
      <w:r w:rsidR="002D30EA" w:rsidRPr="002D30EA">
        <w:rPr>
          <w:rFonts w:ascii="TimesNewRomanPSMT" w:hAnsi="TimesNewRomanPSMT" w:cs="TimesNewRomanPSMT"/>
          <w:kern w:val="0"/>
        </w:rPr>
        <w:t>identify and verify victims</w:t>
      </w:r>
      <w:r w:rsidR="004C6252">
        <w:rPr>
          <w:rFonts w:ascii="TimesNewRomanPSMT" w:hAnsi="TimesNewRomanPSMT" w:cs="TimesNewRomanPSMT"/>
          <w:kern w:val="0"/>
        </w:rPr>
        <w:t>;</w:t>
      </w:r>
      <w:r w:rsidR="002D30EA" w:rsidRPr="002D30EA">
        <w:rPr>
          <w:rFonts w:ascii="TimesNewRomanPSMT" w:hAnsi="TimesNewRomanPSMT" w:cs="TimesNewRomanPSMT"/>
          <w:kern w:val="0"/>
        </w:rPr>
        <w:t xml:space="preserve"> and </w:t>
      </w:r>
      <w:r w:rsidR="004C6252">
        <w:rPr>
          <w:rFonts w:ascii="TimesNewRomanPSMT" w:hAnsi="TimesNewRomanPSMT" w:cs="TimesNewRomanPSMT"/>
          <w:kern w:val="0"/>
        </w:rPr>
        <w:t xml:space="preserve">(2) </w:t>
      </w:r>
      <w:r w:rsidR="002D30EA" w:rsidRPr="002D30EA">
        <w:rPr>
          <w:rFonts w:ascii="TimesNewRomanPSMT" w:hAnsi="TimesNewRomanPSMT" w:cs="TimesNewRomanPSMT"/>
          <w:kern w:val="0"/>
        </w:rPr>
        <w:t>requir</w:t>
      </w:r>
      <w:r w:rsidR="004C6252">
        <w:rPr>
          <w:rFonts w:ascii="TimesNewRomanPSMT" w:hAnsi="TimesNewRomanPSMT" w:cs="TimesNewRomanPSMT"/>
          <w:kern w:val="0"/>
        </w:rPr>
        <w:t>e</w:t>
      </w:r>
      <w:r w:rsidR="002D30EA" w:rsidRPr="002D30EA">
        <w:rPr>
          <w:rFonts w:ascii="TimesNewRomanPSMT" w:hAnsi="TimesNewRomanPSMT" w:cs="TimesNewRomanPSMT"/>
          <w:kern w:val="0"/>
        </w:rPr>
        <w:t xml:space="preserve"> </w:t>
      </w:r>
      <w:r w:rsidR="004C6252">
        <w:rPr>
          <w:rFonts w:ascii="TimesNewRomanPSMT" w:hAnsi="TimesNewRomanPSMT" w:cs="TimesNewRomanPSMT"/>
          <w:kern w:val="0"/>
        </w:rPr>
        <w:t xml:space="preserve">that </w:t>
      </w:r>
      <w:r w:rsidR="002D30EA" w:rsidRPr="002D30EA">
        <w:rPr>
          <w:rFonts w:ascii="TimesNewRomanPSMT" w:hAnsi="TimesNewRomanPSMT" w:cs="TimesNewRomanPSMT"/>
          <w:kern w:val="0"/>
        </w:rPr>
        <w:t>victims sign a sworn certification that acknowledges that unauthorized access, recording, or dissemination of audio or</w:t>
      </w:r>
      <w:r w:rsidR="002D30EA">
        <w:rPr>
          <w:rFonts w:ascii="TimesNewRomanPSMT" w:hAnsi="TimesNewRomanPSMT" w:cs="TimesNewRomanPSMT"/>
          <w:kern w:val="0"/>
        </w:rPr>
        <w:t xml:space="preserve"> </w:t>
      </w:r>
      <w:r w:rsidR="002D30EA" w:rsidRPr="002D30EA">
        <w:rPr>
          <w:rFonts w:ascii="TimesNewRomanPSMT" w:hAnsi="TimesNewRomanPSMT" w:cs="TimesNewRomanPSMT"/>
          <w:kern w:val="0"/>
        </w:rPr>
        <w:t>d</w:t>
      </w:r>
      <w:r w:rsidR="002D30EA">
        <w:rPr>
          <w:rFonts w:ascii="TimesNewRomanPSMT" w:hAnsi="TimesNewRomanPSMT" w:cs="TimesNewRomanPSMT"/>
          <w:kern w:val="0"/>
        </w:rPr>
        <w:t>issemination</w:t>
      </w:r>
      <w:r w:rsidR="002D30EA" w:rsidRPr="002D30EA">
        <w:rPr>
          <w:rFonts w:ascii="TimesNewRomanPSMT" w:hAnsi="TimesNewRomanPSMT" w:cs="TimesNewRomanPSMT"/>
          <w:kern w:val="0"/>
        </w:rPr>
        <w:t xml:space="preserve"> of the proceedings is strictly prohibited and could result in contempt sanctions. In addition, the </w:t>
      </w:r>
      <w:r w:rsidR="004C6252">
        <w:rPr>
          <w:rFonts w:ascii="TimesNewRomanPSMT" w:hAnsi="TimesNewRomanPSMT" w:cs="TimesNewRomanPSMT"/>
          <w:kern w:val="0"/>
        </w:rPr>
        <w:t>Court require</w:t>
      </w:r>
      <w:r w:rsidR="00795BB7">
        <w:rPr>
          <w:rFonts w:ascii="TimesNewRomanPSMT" w:hAnsi="TimesNewRomanPSMT" w:cs="TimesNewRomanPSMT"/>
          <w:kern w:val="0"/>
        </w:rPr>
        <w:t>d</w:t>
      </w:r>
      <w:r w:rsidR="004C6252">
        <w:rPr>
          <w:rFonts w:ascii="TimesNewRomanPSMT" w:hAnsi="TimesNewRomanPSMT" w:cs="TimesNewRomanPSMT"/>
          <w:kern w:val="0"/>
        </w:rPr>
        <w:t xml:space="preserve"> that the </w:t>
      </w:r>
      <w:r w:rsidR="002D30EA" w:rsidRPr="002D30EA">
        <w:rPr>
          <w:rFonts w:ascii="TimesNewRomanPSMT" w:hAnsi="TimesNewRomanPSMT" w:cs="TimesNewRomanPSMT"/>
          <w:kern w:val="0"/>
        </w:rPr>
        <w:t xml:space="preserve">government use remote monitors and Internet searches, among other methods, to ensure that access is restricted to verified victims, and </w:t>
      </w:r>
      <w:r w:rsidR="004C6252">
        <w:rPr>
          <w:rFonts w:ascii="TimesNewRomanPSMT" w:hAnsi="TimesNewRomanPSMT" w:cs="TimesNewRomanPSMT"/>
          <w:kern w:val="0"/>
        </w:rPr>
        <w:t xml:space="preserve">it must </w:t>
      </w:r>
      <w:r w:rsidR="002D30EA" w:rsidRPr="002D30EA">
        <w:rPr>
          <w:rFonts w:ascii="TimesNewRomanPSMT" w:hAnsi="TimesNewRomanPSMT" w:cs="TimesNewRomanPSMT"/>
          <w:kern w:val="0"/>
        </w:rPr>
        <w:t xml:space="preserve">promptly notify the Court of any violation of its orders.  Following input from the parties, the Court will issue a comprehensive order that sets forth the obligations of the government and the victims. Subject to these conditions, the Court will permit non-evidentiary, pretrial proceedings to be transmitted to victims over </w:t>
      </w:r>
      <w:r w:rsidR="004C6252">
        <w:rPr>
          <w:rFonts w:ascii="TimesNewRomanPSMT" w:hAnsi="TimesNewRomanPSMT" w:cs="TimesNewRomanPSMT"/>
          <w:kern w:val="0"/>
        </w:rPr>
        <w:t xml:space="preserve">the ZFG platform </w:t>
      </w:r>
      <w:r w:rsidR="002D30EA" w:rsidRPr="002D30EA">
        <w:rPr>
          <w:rFonts w:ascii="TimesNewRomanPSMT" w:hAnsi="TimesNewRomanPSMT" w:cs="TimesNewRomanPSMT"/>
          <w:kern w:val="0"/>
        </w:rPr>
        <w:t xml:space="preserve">and approved telephone lines.  </w:t>
      </w:r>
      <w:r w:rsidR="002D30EA">
        <w:rPr>
          <w:rFonts w:ascii="TimesNewRomanPSMT" w:hAnsi="TimesNewRomanPSMT" w:cs="TimesNewRomanPSMT"/>
          <w:kern w:val="0"/>
        </w:rPr>
        <w:t xml:space="preserve"> </w:t>
      </w:r>
    </w:p>
    <w:p w14:paraId="47E4951A" w14:textId="77777777" w:rsidR="002D30EA" w:rsidRDefault="002D30EA" w:rsidP="008B5FA2">
      <w:pPr>
        <w:autoSpaceDE w:val="0"/>
        <w:autoSpaceDN w:val="0"/>
        <w:adjustRightInd w:val="0"/>
        <w:ind w:firstLine="720"/>
        <w:jc w:val="both"/>
        <w:rPr>
          <w:rFonts w:ascii="TimesNewRomanPSMT" w:hAnsi="TimesNewRomanPSMT" w:cs="TimesNewRomanPSMT"/>
          <w:kern w:val="0"/>
        </w:rPr>
      </w:pPr>
    </w:p>
    <w:p w14:paraId="273540C6" w14:textId="5C74A18D" w:rsidR="004C6252" w:rsidRPr="004C6252" w:rsidRDefault="002D30EA" w:rsidP="008B5FA2">
      <w:pPr>
        <w:autoSpaceDE w:val="0"/>
        <w:autoSpaceDN w:val="0"/>
        <w:adjustRightInd w:val="0"/>
        <w:jc w:val="center"/>
        <w:rPr>
          <w:rFonts w:ascii="TimesNewRomanPSMT" w:hAnsi="TimesNewRomanPSMT" w:cs="TimesNewRomanPSMT"/>
          <w:b/>
          <w:bCs/>
          <w:kern w:val="0"/>
        </w:rPr>
      </w:pPr>
      <w:r w:rsidRPr="004C6252">
        <w:rPr>
          <w:rFonts w:ascii="TimesNewRomanPSMT" w:hAnsi="TimesNewRomanPSMT" w:cs="TimesNewRomanPSMT"/>
          <w:b/>
          <w:bCs/>
          <w:kern w:val="0"/>
        </w:rPr>
        <w:t>Evidentiary Hearings and Trial</w:t>
      </w:r>
    </w:p>
    <w:p w14:paraId="56E463C5" w14:textId="77777777" w:rsidR="004C6252" w:rsidRDefault="004C6252" w:rsidP="008B5FA2">
      <w:pPr>
        <w:autoSpaceDE w:val="0"/>
        <w:autoSpaceDN w:val="0"/>
        <w:adjustRightInd w:val="0"/>
        <w:jc w:val="both"/>
        <w:rPr>
          <w:rFonts w:ascii="TimesNewRomanPSMT" w:hAnsi="TimesNewRomanPSMT" w:cs="TimesNewRomanPSMT"/>
          <w:kern w:val="0"/>
        </w:rPr>
      </w:pPr>
    </w:p>
    <w:p w14:paraId="62CBBBA5" w14:textId="3D7D6C6A" w:rsidR="005863B8" w:rsidRDefault="002D30EA" w:rsidP="005863B8">
      <w:pPr>
        <w:autoSpaceDE w:val="0"/>
        <w:autoSpaceDN w:val="0"/>
        <w:adjustRightInd w:val="0"/>
        <w:ind w:firstLine="720"/>
        <w:jc w:val="both"/>
        <w:rPr>
          <w:rFonts w:ascii="TimesNewRomanPSMT" w:hAnsi="TimesNewRomanPSMT" w:cs="TimesNewRomanPSMT"/>
          <w:kern w:val="0"/>
        </w:rPr>
      </w:pPr>
      <w:r w:rsidRPr="002D30EA">
        <w:rPr>
          <w:rFonts w:ascii="TimesNewRomanPSMT" w:hAnsi="TimesNewRomanPSMT" w:cs="TimesNewRomanPSMT"/>
          <w:kern w:val="0"/>
        </w:rPr>
        <w:t xml:space="preserve">With respect to </w:t>
      </w:r>
      <w:r w:rsidR="004C6252">
        <w:rPr>
          <w:rFonts w:ascii="TimesNewRomanPSMT" w:hAnsi="TimesNewRomanPSMT" w:cs="TimesNewRomanPSMT"/>
          <w:kern w:val="0"/>
        </w:rPr>
        <w:t xml:space="preserve">“testimonial </w:t>
      </w:r>
      <w:r w:rsidRPr="002D30EA">
        <w:rPr>
          <w:rFonts w:ascii="TimesNewRomanPSMT" w:hAnsi="TimesNewRomanPSMT" w:cs="TimesNewRomanPSMT"/>
          <w:kern w:val="0"/>
        </w:rPr>
        <w:t>evidentiary hearings</w:t>
      </w:r>
      <w:r w:rsidR="004C6252">
        <w:rPr>
          <w:rFonts w:ascii="TimesNewRomanPSMT" w:hAnsi="TimesNewRomanPSMT" w:cs="TimesNewRomanPSMT"/>
          <w:kern w:val="0"/>
        </w:rPr>
        <w:t>”</w:t>
      </w:r>
      <w:r w:rsidRPr="002D30EA">
        <w:rPr>
          <w:rFonts w:ascii="TimesNewRomanPSMT" w:hAnsi="TimesNewRomanPSMT" w:cs="TimesNewRomanPSMT"/>
          <w:kern w:val="0"/>
        </w:rPr>
        <w:t xml:space="preserve"> and </w:t>
      </w:r>
      <w:r w:rsidR="004C6252">
        <w:rPr>
          <w:rFonts w:ascii="TimesNewRomanPSMT" w:hAnsi="TimesNewRomanPSMT" w:cs="TimesNewRomanPSMT"/>
          <w:kern w:val="0"/>
        </w:rPr>
        <w:t xml:space="preserve">the </w:t>
      </w:r>
      <w:r w:rsidRPr="002D30EA">
        <w:rPr>
          <w:rFonts w:ascii="TimesNewRomanPSMT" w:hAnsi="TimesNewRomanPSMT" w:cs="TimesNewRomanPSMT"/>
          <w:kern w:val="0"/>
        </w:rPr>
        <w:t>trial, however, the Court</w:t>
      </w:r>
      <w:r>
        <w:rPr>
          <w:rFonts w:ascii="TimesNewRomanPSMT" w:hAnsi="TimesNewRomanPSMT" w:cs="TimesNewRomanPSMT"/>
          <w:kern w:val="0"/>
        </w:rPr>
        <w:t xml:space="preserve"> denied</w:t>
      </w:r>
      <w:r w:rsidRPr="002D30EA">
        <w:rPr>
          <w:rFonts w:ascii="TimesNewRomanPSMT" w:hAnsi="TimesNewRomanPSMT" w:cs="TimesNewRomanPSMT"/>
          <w:kern w:val="0"/>
        </w:rPr>
        <w:t xml:space="preserve"> the government’s motion to permit transmission of live video and audio feeds of these proceedings to victims’ personal electronic devices. </w:t>
      </w:r>
      <w:r w:rsidR="00BD4822">
        <w:rPr>
          <w:rFonts w:ascii="TimesNewRomanPSMT" w:hAnsi="TimesNewRomanPSMT" w:cs="TimesNewRomanPSMT"/>
          <w:kern w:val="0"/>
        </w:rPr>
        <w:t>Instead, if</w:t>
      </w:r>
      <w:r w:rsidR="005863B8">
        <w:rPr>
          <w:rFonts w:ascii="TimesNewRomanPSMT" w:hAnsi="TimesNewRomanPSMT" w:cs="TimesNewRomanPSMT"/>
          <w:kern w:val="0"/>
        </w:rPr>
        <w:t xml:space="preserve"> you </w:t>
      </w:r>
      <w:r w:rsidR="00A852A2">
        <w:rPr>
          <w:rFonts w:ascii="TimesNewRomanPSMT" w:hAnsi="TimesNewRomanPSMT" w:cs="TimesNewRomanPSMT"/>
          <w:kern w:val="0"/>
        </w:rPr>
        <w:t xml:space="preserve">wish to observe </w:t>
      </w:r>
      <w:r w:rsidR="005863B8">
        <w:rPr>
          <w:rFonts w:ascii="TimesNewRomanPSMT" w:hAnsi="TimesNewRomanPSMT" w:cs="TimesNewRomanPSMT"/>
          <w:kern w:val="0"/>
        </w:rPr>
        <w:t>evidentiary, testimonial, and</w:t>
      </w:r>
      <w:r w:rsidR="00A852A2">
        <w:rPr>
          <w:rFonts w:ascii="TimesNewRomanPSMT" w:hAnsi="TimesNewRomanPSMT" w:cs="TimesNewRomanPSMT"/>
          <w:kern w:val="0"/>
        </w:rPr>
        <w:t>/or</w:t>
      </w:r>
      <w:r w:rsidR="005863B8">
        <w:rPr>
          <w:rFonts w:ascii="TimesNewRomanPSMT" w:hAnsi="TimesNewRomanPSMT" w:cs="TimesNewRomanPSMT"/>
          <w:kern w:val="0"/>
        </w:rPr>
        <w:t xml:space="preserve"> trial proceedings at </w:t>
      </w:r>
      <w:r w:rsidR="00A852A2">
        <w:rPr>
          <w:rFonts w:ascii="TimesNewRomanPSMT" w:hAnsi="TimesNewRomanPSMT" w:cs="TimesNewRomanPSMT"/>
          <w:kern w:val="0"/>
        </w:rPr>
        <w:t xml:space="preserve">a place other than the U.S. Courthouse in Washington, D.C. (which will be open to all members of the public), you will need to do so at </w:t>
      </w:r>
      <w:r w:rsidR="005863B8">
        <w:rPr>
          <w:rFonts w:ascii="TimesNewRomanPSMT" w:hAnsi="TimesNewRomanPSMT" w:cs="TimesNewRomanPSMT"/>
          <w:kern w:val="0"/>
        </w:rPr>
        <w:t xml:space="preserve">a </w:t>
      </w:r>
      <w:r w:rsidR="00A852A2">
        <w:rPr>
          <w:rFonts w:ascii="TimesNewRomanPSMT" w:hAnsi="TimesNewRomanPSMT" w:cs="TimesNewRomanPSMT"/>
          <w:kern w:val="0"/>
        </w:rPr>
        <w:t xml:space="preserve">designated </w:t>
      </w:r>
      <w:r w:rsidR="005863B8">
        <w:rPr>
          <w:rFonts w:ascii="TimesNewRomanPSMT" w:hAnsi="TimesNewRomanPSMT" w:cs="TimesNewRomanPSMT"/>
          <w:kern w:val="0"/>
        </w:rPr>
        <w:t>“fixed site</w:t>
      </w:r>
      <w:r w:rsidR="00A852A2">
        <w:rPr>
          <w:rFonts w:ascii="TimesNewRomanPSMT" w:hAnsi="TimesNewRomanPSMT" w:cs="TimesNewRomanPSMT"/>
          <w:kern w:val="0"/>
        </w:rPr>
        <w:t>,</w:t>
      </w:r>
      <w:r w:rsidR="005863B8">
        <w:rPr>
          <w:rFonts w:ascii="TimesNewRomanPSMT" w:hAnsi="TimesNewRomanPSMT" w:cs="TimesNewRomanPSMT"/>
          <w:kern w:val="0"/>
        </w:rPr>
        <w:t xml:space="preserve">” such as </w:t>
      </w:r>
      <w:r w:rsidR="00A852A2">
        <w:rPr>
          <w:rFonts w:ascii="TimesNewRomanPSMT" w:hAnsi="TimesNewRomanPSMT" w:cs="TimesNewRomanPSMT"/>
          <w:kern w:val="0"/>
        </w:rPr>
        <w:t xml:space="preserve">specific </w:t>
      </w:r>
      <w:r w:rsidR="005863B8">
        <w:rPr>
          <w:rFonts w:ascii="TimesNewRomanPSMT" w:hAnsi="TimesNewRomanPSMT" w:cs="TimesNewRomanPSMT"/>
          <w:kern w:val="0"/>
        </w:rPr>
        <w:t xml:space="preserve">federal courthouses throughout the United States and at </w:t>
      </w:r>
      <w:r w:rsidR="00A852A2">
        <w:rPr>
          <w:rFonts w:ascii="TimesNewRomanPSMT" w:hAnsi="TimesNewRomanPSMT" w:cs="TimesNewRomanPSMT"/>
          <w:kern w:val="0"/>
        </w:rPr>
        <w:t xml:space="preserve">specific </w:t>
      </w:r>
      <w:r w:rsidR="005863B8">
        <w:rPr>
          <w:rFonts w:ascii="TimesNewRomanPSMT" w:hAnsi="TimesNewRomanPSMT" w:cs="TimesNewRomanPSMT"/>
          <w:kern w:val="0"/>
        </w:rPr>
        <w:t>U.S. Embassies overseas in foreign countries.</w:t>
      </w:r>
      <w:r w:rsidR="00A852A2">
        <w:rPr>
          <w:rFonts w:ascii="TimesNewRomanPSMT" w:hAnsi="TimesNewRomanPSMT" w:cs="TimesNewRomanPSMT"/>
          <w:kern w:val="0"/>
        </w:rPr>
        <w:t xml:space="preserve"> These sites have not yet been identified.</w:t>
      </w:r>
      <w:r w:rsidR="005863B8">
        <w:rPr>
          <w:rFonts w:ascii="TimesNewRomanPSMT" w:hAnsi="TimesNewRomanPSMT" w:cs="TimesNewRomanPSMT"/>
          <w:kern w:val="0"/>
        </w:rPr>
        <w:t xml:space="preserve">  </w:t>
      </w:r>
    </w:p>
    <w:p w14:paraId="51BB4E60" w14:textId="77777777" w:rsidR="005863B8" w:rsidRDefault="005863B8" w:rsidP="008B5FA2">
      <w:pPr>
        <w:autoSpaceDE w:val="0"/>
        <w:autoSpaceDN w:val="0"/>
        <w:adjustRightInd w:val="0"/>
        <w:ind w:firstLine="720"/>
        <w:jc w:val="both"/>
        <w:rPr>
          <w:rFonts w:ascii="TimesNewRomanPSMT" w:hAnsi="TimesNewRomanPSMT" w:cs="TimesNewRomanPSMT"/>
          <w:kern w:val="0"/>
        </w:rPr>
      </w:pPr>
    </w:p>
    <w:p w14:paraId="67DD8A17" w14:textId="2FAC0848" w:rsidR="004F74F2" w:rsidRDefault="004C6252" w:rsidP="008B5FA2">
      <w:pPr>
        <w:autoSpaceDE w:val="0"/>
        <w:autoSpaceDN w:val="0"/>
        <w:adjustRightInd w:val="0"/>
        <w:ind w:firstLine="720"/>
        <w:jc w:val="both"/>
        <w:rPr>
          <w:rFonts w:ascii="TimesNewRomanPSMT" w:hAnsi="TimesNewRomanPSMT" w:cs="TimesNewRomanPSMT"/>
          <w:kern w:val="0"/>
        </w:rPr>
      </w:pPr>
      <w:r>
        <w:rPr>
          <w:rFonts w:ascii="TimesNewRomanPSMT" w:hAnsi="TimesNewRomanPSMT" w:cs="TimesNewRomanPSMT"/>
          <w:kern w:val="0"/>
        </w:rPr>
        <w:t xml:space="preserve">In </w:t>
      </w:r>
      <w:r w:rsidR="005863B8">
        <w:rPr>
          <w:rFonts w:ascii="TimesNewRomanPSMT" w:hAnsi="TimesNewRomanPSMT" w:cs="TimesNewRomanPSMT"/>
          <w:kern w:val="0"/>
        </w:rPr>
        <w:t xml:space="preserve">its </w:t>
      </w:r>
      <w:r>
        <w:rPr>
          <w:rFonts w:ascii="TimesNewRomanPSMT" w:hAnsi="TimesNewRomanPSMT" w:cs="TimesNewRomanPSMT"/>
          <w:kern w:val="0"/>
        </w:rPr>
        <w:t>ruling, t</w:t>
      </w:r>
      <w:r w:rsidR="002D30EA" w:rsidRPr="002D30EA">
        <w:rPr>
          <w:rFonts w:ascii="TimesNewRomanPSMT" w:hAnsi="TimesNewRomanPSMT" w:cs="TimesNewRomanPSMT"/>
          <w:kern w:val="0"/>
        </w:rPr>
        <w:t xml:space="preserve">he Court </w:t>
      </w:r>
      <w:r w:rsidR="005863B8">
        <w:rPr>
          <w:rFonts w:ascii="TimesNewRomanPSMT" w:hAnsi="TimesNewRomanPSMT" w:cs="TimesNewRomanPSMT"/>
          <w:kern w:val="0"/>
        </w:rPr>
        <w:t xml:space="preserve">agreed with the defense </w:t>
      </w:r>
      <w:r w:rsidR="002D30EA" w:rsidRPr="002D30EA">
        <w:rPr>
          <w:rFonts w:ascii="TimesNewRomanPSMT" w:hAnsi="TimesNewRomanPSMT" w:cs="TimesNewRomanPSMT"/>
          <w:kern w:val="0"/>
        </w:rPr>
        <w:t>that</w:t>
      </w:r>
      <w:r w:rsidR="008A5E1F">
        <w:rPr>
          <w:rFonts w:ascii="TimesNewRomanPSMT" w:hAnsi="TimesNewRomanPSMT" w:cs="TimesNewRomanPSMT"/>
          <w:kern w:val="0"/>
        </w:rPr>
        <w:t>, if evidentiary and/or trial proceedings were transmitted via ZFG to victims’ personal devices,</w:t>
      </w:r>
      <w:r w:rsidR="002D30EA" w:rsidRPr="002D30EA">
        <w:rPr>
          <w:rFonts w:ascii="TimesNewRomanPSMT" w:hAnsi="TimesNewRomanPSMT" w:cs="TimesNewRomanPSMT"/>
          <w:kern w:val="0"/>
        </w:rPr>
        <w:t xml:space="preserve"> there </w:t>
      </w:r>
      <w:r w:rsidR="002D30EA">
        <w:rPr>
          <w:rFonts w:ascii="TimesNewRomanPSMT" w:hAnsi="TimesNewRomanPSMT" w:cs="TimesNewRomanPSMT"/>
          <w:kern w:val="0"/>
        </w:rPr>
        <w:t>may be</w:t>
      </w:r>
      <w:r w:rsidR="002D30EA" w:rsidRPr="002D30EA">
        <w:rPr>
          <w:rFonts w:ascii="TimesNewRomanPSMT" w:hAnsi="TimesNewRomanPSMT" w:cs="TimesNewRomanPSMT"/>
          <w:kern w:val="0"/>
        </w:rPr>
        <w:t xml:space="preserve"> a substantial risk that unauthorized third parties could violate the Court’s orders by gaining access to </w:t>
      </w:r>
      <w:r w:rsidR="008A5E1F">
        <w:rPr>
          <w:rFonts w:ascii="TimesNewRomanPSMT" w:hAnsi="TimesNewRomanPSMT" w:cs="TimesNewRomanPSMT"/>
          <w:kern w:val="0"/>
        </w:rPr>
        <w:t xml:space="preserve">these </w:t>
      </w:r>
      <w:r w:rsidR="002D30EA" w:rsidRPr="002D30EA">
        <w:rPr>
          <w:rFonts w:ascii="TimesNewRomanPSMT" w:hAnsi="TimesNewRomanPSMT" w:cs="TimesNewRomanPSMT"/>
          <w:kern w:val="0"/>
        </w:rPr>
        <w:t xml:space="preserve">proceedings </w:t>
      </w:r>
      <w:r>
        <w:rPr>
          <w:rFonts w:ascii="TimesNewRomanPSMT" w:hAnsi="TimesNewRomanPSMT" w:cs="TimesNewRomanPSMT"/>
          <w:kern w:val="0"/>
        </w:rPr>
        <w:t>by</w:t>
      </w:r>
      <w:r w:rsidR="002D30EA" w:rsidRPr="002D30EA">
        <w:rPr>
          <w:rFonts w:ascii="TimesNewRomanPSMT" w:hAnsi="TimesNewRomanPSMT" w:cs="TimesNewRomanPSMT"/>
          <w:kern w:val="0"/>
        </w:rPr>
        <w:t xml:space="preserve"> recording and disseminating them.  </w:t>
      </w:r>
      <w:r>
        <w:rPr>
          <w:rFonts w:ascii="TimesNewRomanPSMT" w:hAnsi="TimesNewRomanPSMT" w:cs="TimesNewRomanPSMT"/>
          <w:kern w:val="0"/>
        </w:rPr>
        <w:t xml:space="preserve">The Court ruled that such violations could impair the </w:t>
      </w:r>
      <w:r w:rsidR="002D30EA" w:rsidRPr="002D30EA">
        <w:rPr>
          <w:rFonts w:ascii="TimesNewRomanPSMT" w:hAnsi="TimesNewRomanPSMT" w:cs="TimesNewRomanPSMT"/>
          <w:kern w:val="0"/>
        </w:rPr>
        <w:t xml:space="preserve">defendant’s right to a fair trial </w:t>
      </w:r>
      <w:r>
        <w:rPr>
          <w:rFonts w:ascii="TimesNewRomanPSMT" w:hAnsi="TimesNewRomanPSMT" w:cs="TimesNewRomanPSMT"/>
          <w:kern w:val="0"/>
        </w:rPr>
        <w:t xml:space="preserve">by (1) tainting </w:t>
      </w:r>
      <w:r w:rsidR="002D30EA" w:rsidRPr="002D30EA">
        <w:rPr>
          <w:rFonts w:ascii="TimesNewRomanPSMT" w:hAnsi="TimesNewRomanPSMT" w:cs="TimesNewRomanPSMT"/>
          <w:kern w:val="0"/>
        </w:rPr>
        <w:t xml:space="preserve">potential jurors </w:t>
      </w:r>
      <w:r>
        <w:rPr>
          <w:rFonts w:ascii="TimesNewRomanPSMT" w:hAnsi="TimesNewRomanPSMT" w:cs="TimesNewRomanPSMT"/>
          <w:kern w:val="0"/>
        </w:rPr>
        <w:t xml:space="preserve">if they obtained access to recorded evidence or trial proceedings; (2) </w:t>
      </w:r>
      <w:r w:rsidR="005863B8">
        <w:rPr>
          <w:rFonts w:ascii="TimesNewRomanPSMT" w:hAnsi="TimesNewRomanPSMT" w:cs="TimesNewRomanPSMT"/>
          <w:kern w:val="0"/>
        </w:rPr>
        <w:t xml:space="preserve">exposing </w:t>
      </w:r>
      <w:r>
        <w:rPr>
          <w:rFonts w:ascii="TimesNewRomanPSMT" w:hAnsi="TimesNewRomanPSMT" w:cs="TimesNewRomanPSMT"/>
          <w:kern w:val="0"/>
        </w:rPr>
        <w:t xml:space="preserve">witnesses to others’ testimony; </w:t>
      </w:r>
      <w:r w:rsidR="00EC225A">
        <w:rPr>
          <w:rFonts w:ascii="TimesNewRomanPSMT" w:hAnsi="TimesNewRomanPSMT" w:cs="TimesNewRomanPSMT"/>
          <w:kern w:val="0"/>
        </w:rPr>
        <w:t xml:space="preserve">and </w:t>
      </w:r>
      <w:r>
        <w:rPr>
          <w:rFonts w:ascii="TimesNewRomanPSMT" w:hAnsi="TimesNewRomanPSMT" w:cs="TimesNewRomanPSMT"/>
          <w:kern w:val="0"/>
        </w:rPr>
        <w:t xml:space="preserve">(3) </w:t>
      </w:r>
      <w:r w:rsidR="00EC225A">
        <w:rPr>
          <w:rFonts w:ascii="TimesNewRomanPSMT" w:hAnsi="TimesNewRomanPSMT" w:cs="TimesNewRomanPSMT"/>
          <w:kern w:val="0"/>
        </w:rPr>
        <w:t xml:space="preserve">giving someone an opportunity to disseminate </w:t>
      </w:r>
      <w:r>
        <w:rPr>
          <w:rFonts w:ascii="TimesNewRomanPSMT" w:hAnsi="TimesNewRomanPSMT" w:cs="TimesNewRomanPSMT"/>
          <w:kern w:val="0"/>
        </w:rPr>
        <w:t>the recordings or audio without authorization</w:t>
      </w:r>
      <w:r w:rsidR="005863B8">
        <w:rPr>
          <w:rFonts w:ascii="TimesNewRomanPSMT" w:hAnsi="TimesNewRomanPSMT" w:cs="TimesNewRomanPSMT"/>
          <w:kern w:val="0"/>
        </w:rPr>
        <w:t>,</w:t>
      </w:r>
      <w:r>
        <w:rPr>
          <w:rFonts w:ascii="TimesNewRomanPSMT" w:hAnsi="TimesNewRomanPSMT" w:cs="TimesNewRomanPSMT"/>
          <w:kern w:val="0"/>
        </w:rPr>
        <w:t xml:space="preserve"> which could adversely affect </w:t>
      </w:r>
      <w:r w:rsidR="005863B8">
        <w:rPr>
          <w:rFonts w:ascii="TimesNewRomanPSMT" w:hAnsi="TimesNewRomanPSMT" w:cs="TimesNewRomanPSMT"/>
          <w:kern w:val="0"/>
        </w:rPr>
        <w:t xml:space="preserve">a </w:t>
      </w:r>
      <w:r>
        <w:rPr>
          <w:rFonts w:ascii="TimesNewRomanPSMT" w:hAnsi="TimesNewRomanPSMT" w:cs="TimesNewRomanPSMT"/>
          <w:kern w:val="0"/>
        </w:rPr>
        <w:t>witnesses’ willingness to testify and the quality of their testimony</w:t>
      </w:r>
      <w:r w:rsidR="00EC225A">
        <w:rPr>
          <w:rFonts w:ascii="TimesNewRomanPSMT" w:hAnsi="TimesNewRomanPSMT" w:cs="TimesNewRomanPSMT"/>
          <w:kern w:val="0"/>
        </w:rPr>
        <w:t>, and affect the due process rights of the defendant.</w:t>
      </w:r>
      <w:r>
        <w:rPr>
          <w:rFonts w:ascii="TimesNewRomanPSMT" w:hAnsi="TimesNewRomanPSMT" w:cs="TimesNewRomanPSMT"/>
          <w:kern w:val="0"/>
        </w:rPr>
        <w:t xml:space="preserve"> </w:t>
      </w:r>
    </w:p>
    <w:p w14:paraId="7170D3EA" w14:textId="77777777" w:rsidR="004F74F2" w:rsidRDefault="004F74F2" w:rsidP="008B5FA2">
      <w:pPr>
        <w:autoSpaceDE w:val="0"/>
        <w:autoSpaceDN w:val="0"/>
        <w:adjustRightInd w:val="0"/>
        <w:ind w:firstLine="720"/>
        <w:jc w:val="both"/>
        <w:rPr>
          <w:rFonts w:ascii="TimesNewRomanPSMT" w:hAnsi="TimesNewRomanPSMT" w:cs="TimesNewRomanPSMT"/>
          <w:kern w:val="0"/>
        </w:rPr>
      </w:pPr>
    </w:p>
    <w:p w14:paraId="4BD42A7A" w14:textId="48CEA0CB" w:rsidR="005863B8" w:rsidRDefault="005863B8" w:rsidP="008B5FA2">
      <w:pPr>
        <w:autoSpaceDE w:val="0"/>
        <w:autoSpaceDN w:val="0"/>
        <w:adjustRightInd w:val="0"/>
        <w:ind w:firstLine="720"/>
        <w:jc w:val="both"/>
        <w:rPr>
          <w:rFonts w:ascii="TimesNewRomanPSMT" w:hAnsi="TimesNewRomanPSMT" w:cs="TimesNewRomanPSMT"/>
          <w:kern w:val="0"/>
        </w:rPr>
      </w:pPr>
      <w:r>
        <w:rPr>
          <w:rFonts w:eastAsia="Times New Roman"/>
        </w:rPr>
        <w:t xml:space="preserve">To prepare for </w:t>
      </w:r>
      <w:r w:rsidR="00EC225A">
        <w:rPr>
          <w:rFonts w:eastAsia="Times New Roman"/>
        </w:rPr>
        <w:t xml:space="preserve">implementation of this </w:t>
      </w:r>
      <w:r>
        <w:rPr>
          <w:rFonts w:eastAsia="Times New Roman"/>
        </w:rPr>
        <w:t xml:space="preserve">process, the </w:t>
      </w:r>
      <w:r w:rsidR="004F74F2">
        <w:rPr>
          <w:rFonts w:eastAsia="Times New Roman"/>
        </w:rPr>
        <w:t xml:space="preserve">Court Ordered that </w:t>
      </w:r>
      <w:r w:rsidR="004F74F2" w:rsidRPr="005863B8">
        <w:rPr>
          <w:rFonts w:ascii="TimesNewRomanPSMT" w:hAnsi="TimesNewRomanPSMT" w:cs="TimesNewRomanPSMT"/>
          <w:b/>
          <w:bCs/>
          <w:kern w:val="0"/>
        </w:rPr>
        <w:t>on or before February 21, 2025</w:t>
      </w:r>
      <w:r w:rsidR="004F74F2">
        <w:rPr>
          <w:rFonts w:ascii="TimesNewRomanPSMT" w:hAnsi="TimesNewRomanPSMT" w:cs="TimesNewRomanPSMT"/>
          <w:kern w:val="0"/>
        </w:rPr>
        <w:t xml:space="preserve">, </w:t>
      </w:r>
      <w:r>
        <w:rPr>
          <w:rFonts w:ascii="TimesNewRomanPSMT" w:hAnsi="TimesNewRomanPSMT" w:cs="TimesNewRomanPSMT"/>
          <w:kern w:val="0"/>
        </w:rPr>
        <w:t>the government submit a</w:t>
      </w:r>
      <w:r w:rsidR="004F74F2">
        <w:rPr>
          <w:rFonts w:ascii="TimesNewRomanPSMT" w:hAnsi="TimesNewRomanPSMT" w:cs="TimesNewRomanPSMT"/>
          <w:kern w:val="0"/>
        </w:rPr>
        <w:t xml:space="preserve"> reasonable</w:t>
      </w:r>
      <w:r w:rsidR="008B5FA2">
        <w:rPr>
          <w:rFonts w:ascii="TimesNewRomanPSMT" w:hAnsi="TimesNewRomanPSMT" w:cs="TimesNewRomanPSMT"/>
          <w:kern w:val="0"/>
        </w:rPr>
        <w:t xml:space="preserve"> </w:t>
      </w:r>
      <w:r w:rsidR="004F74F2">
        <w:rPr>
          <w:rFonts w:ascii="TimesNewRomanPSMT" w:hAnsi="TimesNewRomanPSMT" w:cs="TimesNewRomanPSMT"/>
          <w:kern w:val="0"/>
        </w:rPr>
        <w:t>and speci</w:t>
      </w:r>
      <w:r w:rsidR="00EC225A">
        <w:rPr>
          <w:rFonts w:ascii="TimesNewRomanPSMT" w:hAnsi="TimesNewRomanPSMT" w:cs="TimesNewRomanPSMT"/>
          <w:kern w:val="0"/>
        </w:rPr>
        <w:t xml:space="preserve">fic </w:t>
      </w:r>
      <w:r w:rsidR="004F74F2">
        <w:rPr>
          <w:rFonts w:ascii="TimesNewRomanPSMT" w:hAnsi="TimesNewRomanPSMT" w:cs="TimesNewRomanPSMT"/>
          <w:kern w:val="0"/>
        </w:rPr>
        <w:t xml:space="preserve">proposal consistent with the Court’s directions </w:t>
      </w:r>
      <w:r w:rsidR="004F74F2">
        <w:rPr>
          <w:rFonts w:eastAsia="Times New Roman"/>
        </w:rPr>
        <w:t>that</w:t>
      </w:r>
      <w:r w:rsidR="006A1C13" w:rsidRPr="004F74F2">
        <w:rPr>
          <w:rFonts w:eastAsia="Times New Roman"/>
        </w:rPr>
        <w:t>:</w:t>
      </w:r>
      <w:r w:rsidR="008B5FA2">
        <w:rPr>
          <w:rFonts w:ascii="TimesNewRomanPSMT" w:hAnsi="TimesNewRomanPSMT" w:cs="TimesNewRomanPSMT"/>
          <w:kern w:val="0"/>
        </w:rPr>
        <w:t xml:space="preserve"> </w:t>
      </w:r>
    </w:p>
    <w:p w14:paraId="160855F3" w14:textId="77777777" w:rsidR="005863B8" w:rsidRDefault="005863B8" w:rsidP="008B5FA2">
      <w:pPr>
        <w:autoSpaceDE w:val="0"/>
        <w:autoSpaceDN w:val="0"/>
        <w:adjustRightInd w:val="0"/>
        <w:ind w:firstLine="720"/>
        <w:jc w:val="both"/>
        <w:rPr>
          <w:rFonts w:ascii="TimesNewRomanPSMT" w:hAnsi="TimesNewRomanPSMT" w:cs="TimesNewRomanPSMT"/>
          <w:kern w:val="0"/>
        </w:rPr>
      </w:pPr>
    </w:p>
    <w:p w14:paraId="394FEE4C" w14:textId="3FB02B16" w:rsidR="004F74F2" w:rsidRPr="008B5FA2" w:rsidRDefault="004F74F2" w:rsidP="008B5FA2">
      <w:pPr>
        <w:autoSpaceDE w:val="0"/>
        <w:autoSpaceDN w:val="0"/>
        <w:adjustRightInd w:val="0"/>
        <w:ind w:firstLine="720"/>
        <w:jc w:val="both"/>
        <w:rPr>
          <w:rFonts w:ascii="TimesNewRomanPSMT" w:hAnsi="TimesNewRomanPSMT" w:cs="TimesNewRomanPSMT"/>
          <w:kern w:val="0"/>
        </w:rPr>
      </w:pPr>
      <w:r w:rsidRPr="004F74F2">
        <w:rPr>
          <w:rFonts w:eastAsia="Times New Roman"/>
        </w:rPr>
        <w:t xml:space="preserve">(1) Establishes an application process for interested victims </w:t>
      </w:r>
      <w:r w:rsidR="008B5FA2">
        <w:rPr>
          <w:rFonts w:eastAsia="Times New Roman"/>
        </w:rPr>
        <w:t>(</w:t>
      </w:r>
      <w:r w:rsidRPr="004F74F2">
        <w:rPr>
          <w:rFonts w:eastAsia="Times New Roman"/>
        </w:rPr>
        <w:t xml:space="preserve">like the process adopted in </w:t>
      </w:r>
      <w:r w:rsidR="008B5FA2" w:rsidRPr="008B5FA2">
        <w:rPr>
          <w:rFonts w:eastAsia="Times New Roman"/>
          <w:i/>
          <w:iCs/>
        </w:rPr>
        <w:t xml:space="preserve">United States v. </w:t>
      </w:r>
      <w:r w:rsidR="007A1CB1" w:rsidRPr="004F74F2">
        <w:rPr>
          <w:rFonts w:eastAsia="Times New Roman"/>
          <w:i/>
          <w:iCs/>
        </w:rPr>
        <w:t>Moussaoui</w:t>
      </w:r>
      <w:r w:rsidR="00ED1FB4">
        <w:rPr>
          <w:rFonts w:eastAsia="Times New Roman"/>
          <w:i/>
          <w:iCs/>
        </w:rPr>
        <w:t>)</w:t>
      </w:r>
      <w:r w:rsidRPr="004F74F2">
        <w:rPr>
          <w:rFonts w:eastAsia="Times New Roman"/>
        </w:rPr>
        <w:t xml:space="preserve">.  The proposal shall include a victim notice letter, a victim application form, and a sworn victim certification form on which victims acknowledge their legal </w:t>
      </w:r>
      <w:proofErr w:type="gramStart"/>
      <w:r w:rsidRPr="004F74F2">
        <w:rPr>
          <w:rFonts w:eastAsia="Times New Roman"/>
        </w:rPr>
        <w:t>obligations</w:t>
      </w:r>
      <w:r w:rsidR="00B507E4">
        <w:rPr>
          <w:rFonts w:eastAsia="Times New Roman"/>
        </w:rPr>
        <w:t>;</w:t>
      </w:r>
      <w:proofErr w:type="gramEnd"/>
    </w:p>
    <w:p w14:paraId="2379D444" w14:textId="77777777" w:rsidR="004F74F2" w:rsidRDefault="004F74F2" w:rsidP="008B5FA2">
      <w:pPr>
        <w:ind w:firstLine="720"/>
        <w:jc w:val="both"/>
        <w:rPr>
          <w:rFonts w:eastAsia="Times New Roman"/>
        </w:rPr>
      </w:pPr>
    </w:p>
    <w:p w14:paraId="4A75B0E7" w14:textId="3BF02136" w:rsidR="004F74F2" w:rsidRPr="004F74F2" w:rsidRDefault="004F74F2" w:rsidP="008B5FA2">
      <w:pPr>
        <w:ind w:firstLine="720"/>
        <w:jc w:val="both"/>
        <w:rPr>
          <w:rFonts w:eastAsia="Times New Roman"/>
        </w:rPr>
      </w:pPr>
      <w:r w:rsidRPr="004F74F2">
        <w:rPr>
          <w:rFonts w:eastAsia="Times New Roman"/>
        </w:rPr>
        <w:t xml:space="preserve">(2) Ensures that non-evidentiary pretrial hearings are promptly made available to identified victims by video and audio in accordance with the government’s original </w:t>
      </w:r>
      <w:proofErr w:type="gramStart"/>
      <w:r w:rsidRPr="004F74F2">
        <w:rPr>
          <w:rFonts w:eastAsia="Times New Roman"/>
        </w:rPr>
        <w:t>proposal</w:t>
      </w:r>
      <w:r w:rsidR="00B507E4">
        <w:rPr>
          <w:rFonts w:eastAsia="Times New Roman"/>
        </w:rPr>
        <w:t>;</w:t>
      </w:r>
      <w:proofErr w:type="gramEnd"/>
      <w:r w:rsidRPr="004F74F2">
        <w:rPr>
          <w:rFonts w:eastAsia="Times New Roman"/>
        </w:rPr>
        <w:t xml:space="preserve">  </w:t>
      </w:r>
    </w:p>
    <w:p w14:paraId="5D78598F" w14:textId="77777777" w:rsidR="008B5FA2" w:rsidRDefault="008B5FA2" w:rsidP="008B5FA2">
      <w:pPr>
        <w:ind w:firstLine="720"/>
        <w:jc w:val="both"/>
        <w:rPr>
          <w:rFonts w:eastAsia="Times New Roman"/>
        </w:rPr>
      </w:pPr>
    </w:p>
    <w:p w14:paraId="53563CA1" w14:textId="67D56E65" w:rsidR="004F74F2" w:rsidRDefault="004F74F2" w:rsidP="008B5FA2">
      <w:pPr>
        <w:ind w:firstLine="720"/>
        <w:jc w:val="both"/>
        <w:rPr>
          <w:rFonts w:eastAsia="Times New Roman"/>
        </w:rPr>
      </w:pPr>
      <w:r w:rsidRPr="004F74F2">
        <w:rPr>
          <w:rFonts w:eastAsia="Times New Roman"/>
        </w:rPr>
        <w:t xml:space="preserve">(3) Ensures that evidentiary and trial proceedings are made accessible to identified victims (a) at courthouses across the United States and (b) at secure locations outside the United States, such as U.S. </w:t>
      </w:r>
      <w:proofErr w:type="gramStart"/>
      <w:r w:rsidRPr="004F74F2">
        <w:rPr>
          <w:rFonts w:eastAsia="Times New Roman"/>
        </w:rPr>
        <w:t>embassies;</w:t>
      </w:r>
      <w:proofErr w:type="gramEnd"/>
      <w:r w:rsidRPr="004F74F2">
        <w:rPr>
          <w:rFonts w:eastAsia="Times New Roman"/>
        </w:rPr>
        <w:t xml:space="preserve">  </w:t>
      </w:r>
    </w:p>
    <w:p w14:paraId="515D796B" w14:textId="77777777" w:rsidR="004F74F2" w:rsidRDefault="004F74F2" w:rsidP="008B5FA2">
      <w:pPr>
        <w:ind w:firstLine="720"/>
        <w:jc w:val="both"/>
        <w:rPr>
          <w:rFonts w:eastAsia="Times New Roman"/>
        </w:rPr>
      </w:pPr>
    </w:p>
    <w:p w14:paraId="323C5F37" w14:textId="69CA8712" w:rsidR="004F74F2" w:rsidRPr="004F74F2" w:rsidRDefault="004F74F2" w:rsidP="008B5FA2">
      <w:pPr>
        <w:ind w:firstLine="720"/>
        <w:jc w:val="both"/>
        <w:rPr>
          <w:rFonts w:eastAsia="Times New Roman"/>
        </w:rPr>
      </w:pPr>
      <w:r w:rsidRPr="004F74F2">
        <w:rPr>
          <w:rFonts w:eastAsia="Times New Roman"/>
        </w:rPr>
        <w:t xml:space="preserve">(4) Ensures that U.S. monitors are trained to supervise victim access in and outside of the United States. </w:t>
      </w:r>
      <w:r w:rsidR="00EC225A">
        <w:rPr>
          <w:rFonts w:eastAsia="Times New Roman"/>
        </w:rPr>
        <w:t>The Court indicated that t</w:t>
      </w:r>
      <w:r w:rsidRPr="004F74F2">
        <w:rPr>
          <w:rFonts w:eastAsia="Times New Roman"/>
        </w:rPr>
        <w:t xml:space="preserve">rained monitors shall be subject to the Court’s contempt power and shall complete sworn certifications acknowledging their obligations. Among other things, monitors shall ensure that access is restricted to identifiable “victims,” as defined in the </w:t>
      </w:r>
      <w:r w:rsidR="00EC225A">
        <w:rPr>
          <w:rFonts w:eastAsia="Times New Roman"/>
        </w:rPr>
        <w:t>Pan Am 103 Victims</w:t>
      </w:r>
      <w:r w:rsidR="00041790">
        <w:rPr>
          <w:rFonts w:eastAsia="Times New Roman"/>
        </w:rPr>
        <w:t>’ Access</w:t>
      </w:r>
      <w:r w:rsidR="00EC225A">
        <w:rPr>
          <w:rFonts w:eastAsia="Times New Roman"/>
        </w:rPr>
        <w:t xml:space="preserve"> </w:t>
      </w:r>
      <w:r w:rsidRPr="004F74F2">
        <w:rPr>
          <w:rFonts w:eastAsia="Times New Roman"/>
        </w:rPr>
        <w:t>Act,</w:t>
      </w:r>
      <w:r w:rsidR="008B5FA2">
        <w:rPr>
          <w:rFonts w:eastAsia="Times New Roman"/>
        </w:rPr>
        <w:t xml:space="preserve"> </w:t>
      </w:r>
      <w:r w:rsidRPr="004F74F2">
        <w:rPr>
          <w:rFonts w:eastAsia="Times New Roman"/>
        </w:rPr>
        <w:t>and enforce this Court’s orders, including (a) a ban on all cell phones and other electronic devices inside secured viewing locations and (b) a ban on any audio- and video-recordings of court proceedings</w:t>
      </w:r>
      <w:r w:rsidR="00EC225A">
        <w:rPr>
          <w:rFonts w:eastAsia="Times New Roman"/>
        </w:rPr>
        <w:t xml:space="preserve">; and </w:t>
      </w:r>
      <w:r w:rsidRPr="004F74F2">
        <w:rPr>
          <w:rFonts w:eastAsia="Times New Roman"/>
        </w:rPr>
        <w:t xml:space="preserve">  </w:t>
      </w:r>
    </w:p>
    <w:p w14:paraId="2B194F27" w14:textId="77777777" w:rsidR="004F74F2" w:rsidRDefault="004F74F2" w:rsidP="008B5FA2">
      <w:pPr>
        <w:ind w:firstLine="720"/>
        <w:jc w:val="both"/>
        <w:rPr>
          <w:rFonts w:eastAsia="Times New Roman"/>
        </w:rPr>
      </w:pPr>
    </w:p>
    <w:p w14:paraId="511D9C8B" w14:textId="490DA254" w:rsidR="004F74F2" w:rsidRPr="004F74F2" w:rsidRDefault="004F74F2" w:rsidP="008B5FA2">
      <w:pPr>
        <w:ind w:firstLine="720"/>
        <w:jc w:val="both"/>
        <w:rPr>
          <w:rFonts w:eastAsia="Times New Roman"/>
        </w:rPr>
      </w:pPr>
      <w:r w:rsidRPr="004F74F2">
        <w:rPr>
          <w:rFonts w:eastAsia="Times New Roman"/>
        </w:rPr>
        <w:t xml:space="preserve">(5) Includes recommendations on how to accomplish these goals in the most reasonable, efficient, and cost-effective manner.    </w:t>
      </w:r>
    </w:p>
    <w:p w14:paraId="2B149654" w14:textId="77777777" w:rsidR="004F74F2" w:rsidRDefault="004F74F2" w:rsidP="008B5FA2">
      <w:pPr>
        <w:ind w:firstLine="720"/>
        <w:jc w:val="both"/>
        <w:rPr>
          <w:rFonts w:eastAsia="Times New Roman"/>
        </w:rPr>
      </w:pPr>
    </w:p>
    <w:p w14:paraId="06E0A137" w14:textId="66510359" w:rsidR="004F74F2" w:rsidRDefault="004F74F2" w:rsidP="008B5FA2">
      <w:pPr>
        <w:ind w:firstLine="720"/>
        <w:jc w:val="both"/>
        <w:rPr>
          <w:rFonts w:eastAsia="Times New Roman"/>
        </w:rPr>
      </w:pPr>
      <w:r w:rsidRPr="004F74F2">
        <w:rPr>
          <w:rFonts w:eastAsia="Times New Roman"/>
        </w:rPr>
        <w:t xml:space="preserve">The Court will also take measures to ensure that the public and the press have maximum access to court proceedings </w:t>
      </w:r>
      <w:r>
        <w:rPr>
          <w:rFonts w:eastAsia="Times New Roman"/>
        </w:rPr>
        <w:t xml:space="preserve">in the </w:t>
      </w:r>
      <w:r w:rsidRPr="004F74F2">
        <w:rPr>
          <w:rFonts w:eastAsia="Times New Roman"/>
        </w:rPr>
        <w:t>District</w:t>
      </w:r>
      <w:r>
        <w:rPr>
          <w:rFonts w:eastAsia="Times New Roman"/>
        </w:rPr>
        <w:t xml:space="preserve"> of Columbia</w:t>
      </w:r>
      <w:r w:rsidRPr="004F74F2">
        <w:rPr>
          <w:rFonts w:eastAsia="Times New Roman"/>
        </w:rPr>
        <w:t xml:space="preserve">. In particular, the Clerk’s Office will set up multiple overflow courtrooms, as necessary, that will display real-time audio and visual coverage of evidentiary proceedings and trial. The Court will also designate one or more media rooms to accommodate the press in the courthouse for pretrial and trial proceedings.     </w:t>
      </w:r>
    </w:p>
    <w:p w14:paraId="03D8F7BA" w14:textId="77777777" w:rsidR="00EC225A" w:rsidRDefault="00EC225A" w:rsidP="00EC225A">
      <w:pPr>
        <w:jc w:val="both"/>
        <w:rPr>
          <w:rFonts w:eastAsia="Times New Roman"/>
        </w:rPr>
      </w:pPr>
    </w:p>
    <w:p w14:paraId="7ADD1955" w14:textId="3EFFD10B" w:rsidR="00EC225A" w:rsidRPr="00EC225A" w:rsidRDefault="00EC225A" w:rsidP="00EC225A">
      <w:pPr>
        <w:jc w:val="center"/>
        <w:rPr>
          <w:rFonts w:eastAsia="Times New Roman"/>
          <w:b/>
          <w:bCs/>
        </w:rPr>
      </w:pPr>
      <w:r w:rsidRPr="00EC225A">
        <w:rPr>
          <w:rFonts w:eastAsia="Times New Roman"/>
          <w:b/>
          <w:bCs/>
        </w:rPr>
        <w:t xml:space="preserve">Summary </w:t>
      </w:r>
    </w:p>
    <w:p w14:paraId="5A02D8F2" w14:textId="77777777" w:rsidR="00EC225A" w:rsidRPr="004F74F2" w:rsidRDefault="00EC225A" w:rsidP="00EC225A">
      <w:pPr>
        <w:jc w:val="center"/>
        <w:rPr>
          <w:rFonts w:eastAsia="Times New Roman"/>
        </w:rPr>
      </w:pPr>
    </w:p>
    <w:p w14:paraId="14CFF90A" w14:textId="71485CBA" w:rsidR="006A1C13" w:rsidRDefault="008B5FA2" w:rsidP="008B5FA2">
      <w:pPr>
        <w:jc w:val="both"/>
      </w:pPr>
      <w:r>
        <w:tab/>
        <w:t xml:space="preserve">We are discussing our next steps internally as a team.  As we have indicated in a previous </w:t>
      </w:r>
      <w:r w:rsidR="00EC225A">
        <w:t xml:space="preserve">VNS </w:t>
      </w:r>
      <w:r>
        <w:t xml:space="preserve">message, we are planning </w:t>
      </w:r>
      <w:r w:rsidR="005C47FB">
        <w:t>to</w:t>
      </w:r>
      <w:r>
        <w:t xml:space="preserve"> host monthly </w:t>
      </w:r>
      <w:r w:rsidR="008E51F6">
        <w:t>v</w:t>
      </w:r>
      <w:r>
        <w:t xml:space="preserve">irtual </w:t>
      </w:r>
      <w:r w:rsidR="008E51F6">
        <w:t>informational m</w:t>
      </w:r>
      <w:r>
        <w:t>eetings</w:t>
      </w:r>
      <w:r w:rsidR="008E51F6">
        <w:t xml:space="preserve"> for victims in the case</w:t>
      </w:r>
      <w:r>
        <w:t xml:space="preserve">.  </w:t>
      </w:r>
      <w:r w:rsidR="008E51F6">
        <w:t xml:space="preserve">Our next such virtual </w:t>
      </w:r>
      <w:r w:rsidR="008E51F6" w:rsidRPr="0074785C">
        <w:rPr>
          <w:b/>
          <w:bCs/>
        </w:rPr>
        <w:t>informational meeting will be held on Thursday, January 16, 2025, at 1:00 pm ET</w:t>
      </w:r>
      <w:r w:rsidR="008E51F6">
        <w:t xml:space="preserve">. At the virtual informational meeting, </w:t>
      </w:r>
      <w:r>
        <w:t xml:space="preserve">we will be happy to answer your questions </w:t>
      </w:r>
      <w:r w:rsidR="00EC225A">
        <w:t xml:space="preserve">about the </w:t>
      </w:r>
      <w:r>
        <w:t>Court’s ruling</w:t>
      </w:r>
      <w:r w:rsidR="008E51F6">
        <w:t xml:space="preserve"> and other issues related to the case</w:t>
      </w:r>
      <w:r>
        <w:t>.</w:t>
      </w:r>
      <w:r w:rsidR="008E51F6">
        <w:t xml:space="preserve"> We will separately send out a link to the meeting.</w:t>
      </w:r>
      <w:r>
        <w:t xml:space="preserve"> </w:t>
      </w:r>
    </w:p>
    <w:p w14:paraId="0A060218" w14:textId="77777777" w:rsidR="00704AF0" w:rsidRDefault="00704AF0" w:rsidP="008B5FA2">
      <w:pPr>
        <w:jc w:val="both"/>
      </w:pPr>
    </w:p>
    <w:p w14:paraId="42C8C687" w14:textId="4E62492A" w:rsidR="00BA1A0C" w:rsidRPr="0074785C" w:rsidRDefault="00BA1A0C" w:rsidP="0074785C">
      <w:pPr>
        <w:ind w:firstLine="720"/>
        <w:jc w:val="both"/>
      </w:pPr>
      <w:r w:rsidRPr="0074785C">
        <w:t xml:space="preserve">We have </w:t>
      </w:r>
      <w:r w:rsidR="00704AF0" w:rsidRPr="009A33DD">
        <w:t>coordinate</w:t>
      </w:r>
      <w:r w:rsidR="009A33DD">
        <w:t>d</w:t>
      </w:r>
      <w:r w:rsidR="00704AF0" w:rsidRPr="009A33DD">
        <w:t xml:space="preserve"> with the Substance Abuse and Mental Health Service Administration (SAMSHA), the National Center for Victims of Crime (NCVC), and the National Organization for Victim Advocacy (NOVA) to provide mental health support via toll free numbers and text.  The toll-free numbers work in Europe</w:t>
      </w:r>
      <w:r w:rsidRPr="0074785C">
        <w:t xml:space="preserve"> by adding a “+” before the 1</w:t>
      </w:r>
      <w:r w:rsidR="00E26728">
        <w:t xml:space="preserve">, international rates may apply. </w:t>
      </w:r>
    </w:p>
    <w:p w14:paraId="574C162C" w14:textId="77777777" w:rsidR="00BA1A0C" w:rsidRPr="0074785C" w:rsidRDefault="00BA1A0C" w:rsidP="008B5FA2">
      <w:pPr>
        <w:jc w:val="both"/>
      </w:pPr>
    </w:p>
    <w:p w14:paraId="54BBF79F" w14:textId="77777777" w:rsidR="00BD75E7" w:rsidRDefault="00BD75E7" w:rsidP="0074785C">
      <w:pPr>
        <w:ind w:firstLine="720"/>
        <w:jc w:val="both"/>
      </w:pPr>
    </w:p>
    <w:p w14:paraId="01B26F7D" w14:textId="77777777" w:rsidR="00BD75E7" w:rsidRDefault="00BD75E7" w:rsidP="0074785C">
      <w:pPr>
        <w:ind w:firstLine="720"/>
        <w:jc w:val="both"/>
      </w:pPr>
    </w:p>
    <w:p w14:paraId="255FF606" w14:textId="4A177A0F" w:rsidR="00704AF0" w:rsidRDefault="00704AF0" w:rsidP="0074785C">
      <w:pPr>
        <w:ind w:firstLine="720"/>
        <w:jc w:val="both"/>
      </w:pPr>
      <w:r w:rsidRPr="009A33DD">
        <w:lastRenderedPageBreak/>
        <w:t>You may mention the Pan Am 103 case</w:t>
      </w:r>
      <w:r w:rsidR="00BA1A0C" w:rsidRPr="0074785C">
        <w:t xml:space="preserve"> if you choose</w:t>
      </w:r>
      <w:r w:rsidR="000175D3">
        <w:t>;</w:t>
      </w:r>
      <w:r w:rsidRPr="009A33DD">
        <w:t xml:space="preserve"> the service providers have been provided background </w:t>
      </w:r>
      <w:r w:rsidR="009A33DD">
        <w:t>about</w:t>
      </w:r>
      <w:r w:rsidRPr="009A33DD">
        <w:t xml:space="preserve"> the </w:t>
      </w:r>
      <w:r w:rsidR="00584901">
        <w:t>tragedy</w:t>
      </w:r>
      <w:r w:rsidRPr="009A33DD">
        <w:t xml:space="preserve">. </w:t>
      </w:r>
      <w:r w:rsidR="00BA1A0C" w:rsidRPr="0074785C">
        <w:t>You may find helpful tips for supporting your mental health</w:t>
      </w:r>
      <w:r w:rsidRPr="009A33DD">
        <w:t xml:space="preserve"> from SAMSHA along with the National Mass Violence Center (NMVC).</w:t>
      </w:r>
      <w:r w:rsidR="00BA1A0C" w:rsidRPr="0074785C">
        <w:t xml:space="preserve"> We have posted links to the documents and the contact numbers </w:t>
      </w:r>
      <w:r w:rsidR="00B2285F">
        <w:t>under</w:t>
      </w:r>
      <w:r w:rsidR="00B2285F" w:rsidRPr="009A33DD">
        <w:t xml:space="preserve"> “</w:t>
      </w:r>
      <w:r w:rsidR="009719BC" w:rsidRPr="009A33DD">
        <w:t>RESOURCES”</w:t>
      </w:r>
      <w:r w:rsidR="009719BC">
        <w:t xml:space="preserve"> on</w:t>
      </w:r>
      <w:r w:rsidR="00B2285F" w:rsidRPr="0074785C">
        <w:t xml:space="preserve"> </w:t>
      </w:r>
      <w:r w:rsidR="00B2285F">
        <w:t xml:space="preserve">our </w:t>
      </w:r>
      <w:r w:rsidR="00B2285F" w:rsidRPr="009A33DD">
        <w:t>webpage</w:t>
      </w:r>
      <w:r w:rsidR="00B2285F" w:rsidRPr="00B2285F">
        <w:t xml:space="preserve"> </w:t>
      </w:r>
      <w:hyperlink r:id="rId8" w:history="1">
        <w:r w:rsidR="009719BC" w:rsidRPr="00E40434">
          <w:rPr>
            <w:rStyle w:val="Hyperlink"/>
          </w:rPr>
          <w:t>https://www.justice.gov/usao-dc/attack-pan-am-flight-103</w:t>
        </w:r>
      </w:hyperlink>
      <w:r w:rsidR="009719BC">
        <w:t>.</w:t>
      </w:r>
    </w:p>
    <w:p w14:paraId="538FEF31" w14:textId="77777777" w:rsidR="009719BC" w:rsidRDefault="009719BC" w:rsidP="0074785C">
      <w:pPr>
        <w:ind w:firstLine="720"/>
        <w:jc w:val="both"/>
      </w:pPr>
    </w:p>
    <w:p w14:paraId="287D0874" w14:textId="1ED3D46B" w:rsidR="009719BC" w:rsidRDefault="009719BC" w:rsidP="0074785C">
      <w:pPr>
        <w:ind w:firstLine="720"/>
        <w:jc w:val="both"/>
      </w:pPr>
    </w:p>
    <w:sectPr w:rsidR="009719B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3B07E" w14:textId="77777777" w:rsidR="00971148" w:rsidRDefault="00971148" w:rsidP="00E57450"/>
    <w:p w14:paraId="63F68E2A" w14:textId="77777777" w:rsidR="00971148" w:rsidRDefault="00971148" w:rsidP="00E57450">
      <w:r>
        <w:continuationSeparator/>
      </w:r>
    </w:p>
  </w:endnote>
  <w:endnote w:type="continuationSeparator" w:id="0">
    <w:p w14:paraId="403EA51D" w14:textId="77777777" w:rsidR="00971148" w:rsidRDefault="00971148" w:rsidP="00E57450"/>
    <w:p w14:paraId="3E511DFB" w14:textId="77777777" w:rsidR="00971148" w:rsidRDefault="00971148" w:rsidP="00E574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A932C" w14:textId="77777777" w:rsidR="00971148" w:rsidRDefault="00971148" w:rsidP="00E57450"/>
    <w:p w14:paraId="4E4CBE39" w14:textId="77777777" w:rsidR="00971148" w:rsidRDefault="00971148" w:rsidP="00E57450">
      <w:r>
        <w:continuationSeparator/>
      </w:r>
    </w:p>
  </w:footnote>
  <w:footnote w:type="continuationSeparator" w:id="0">
    <w:p w14:paraId="0506BA5C" w14:textId="77777777" w:rsidR="00971148" w:rsidRDefault="00971148" w:rsidP="00E57450"/>
    <w:p w14:paraId="6E2817E3" w14:textId="77777777" w:rsidR="00971148" w:rsidRDefault="00971148" w:rsidP="00E57450">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E4529978"/>
    <w:lvl w:ilvl="0">
      <w:start w:val="1"/>
      <w:numFmt w:val="bullet"/>
      <w:pStyle w:val="Heading9"/>
      <w:lvlText w:val=""/>
      <w:lvlJc w:val="left"/>
      <w:pPr>
        <w:tabs>
          <w:tab w:val="num" w:pos="720"/>
        </w:tabs>
        <w:ind w:left="720" w:hanging="360"/>
      </w:pPr>
      <w:rPr>
        <w:rFonts w:ascii="Symbol" w:hAnsi="Symbol" w:hint="default"/>
      </w:rPr>
    </w:lvl>
  </w:abstractNum>
  <w:abstractNum w:abstractNumId="1" w15:restartNumberingAfterBreak="0">
    <w:nsid w:val="10485ED1"/>
    <w:multiLevelType w:val="multilevel"/>
    <w:tmpl w:val="FFA883F0"/>
    <w:numStyleLink w:val="NDOHPleading"/>
  </w:abstractNum>
  <w:abstractNum w:abstractNumId="2" w15:restartNumberingAfterBreak="0">
    <w:nsid w:val="20FC16B1"/>
    <w:multiLevelType w:val="multilevel"/>
    <w:tmpl w:val="4A1EF890"/>
    <w:styleLink w:val="NDOHPleadingII"/>
    <w:lvl w:ilvl="0">
      <w:start w:val="1"/>
      <w:numFmt w:val="decimal"/>
      <w:pStyle w:val="ListII"/>
      <w:lvlText w:val="%1."/>
      <w:lvlJc w:val="left"/>
      <w:pPr>
        <w:ind w:left="0" w:firstLine="0"/>
      </w:pPr>
      <w:rPr>
        <w:rFonts w:hint="default"/>
      </w:rPr>
    </w:lvl>
    <w:lvl w:ilvl="1">
      <w:start w:val="1"/>
      <w:numFmt w:val="lowerLetter"/>
      <w:lvlText w:val="%2."/>
      <w:lvlJc w:val="left"/>
      <w:pPr>
        <w:tabs>
          <w:tab w:val="num" w:pos="864"/>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tabs>
          <w:tab w:val="num" w:pos="2664"/>
        </w:tabs>
        <w:ind w:left="2880" w:hanging="360"/>
      </w:pPr>
      <w:rPr>
        <w:rFonts w:hint="default"/>
      </w:rPr>
    </w:lvl>
    <w:lvl w:ilvl="7">
      <w:start w:val="1"/>
      <w:numFmt w:val="upperLetter"/>
      <w:lvlText w:val="%8)"/>
      <w:lvlJc w:val="left"/>
      <w:pPr>
        <w:ind w:left="3240" w:hanging="360"/>
      </w:pPr>
      <w:rPr>
        <w:rFonts w:hint="default"/>
      </w:rPr>
    </w:lvl>
    <w:lvl w:ilvl="8">
      <w:start w:val="1"/>
      <w:numFmt w:val="upperRoman"/>
      <w:lvlText w:val="%9)"/>
      <w:lvlJc w:val="left"/>
      <w:pPr>
        <w:ind w:left="3600" w:hanging="360"/>
      </w:pPr>
      <w:rPr>
        <w:rFonts w:hint="default"/>
      </w:rPr>
    </w:lvl>
  </w:abstractNum>
  <w:abstractNum w:abstractNumId="3" w15:restartNumberingAfterBreak="0">
    <w:nsid w:val="2DF844D2"/>
    <w:multiLevelType w:val="multilevel"/>
    <w:tmpl w:val="FFA883F0"/>
    <w:styleLink w:val="NDOHPleading"/>
    <w:lvl w:ilvl="0">
      <w:start w:val="1"/>
      <w:numFmt w:val="decimal"/>
      <w:pStyle w:val="ListParagraph"/>
      <w:lvlText w:val="%1."/>
      <w:lvlJc w:val="left"/>
      <w:pPr>
        <w:tabs>
          <w:tab w:val="num" w:pos="720"/>
        </w:tabs>
        <w:ind w:left="0" w:firstLine="720"/>
      </w:pPr>
      <w:rPr>
        <w:rFonts w:hint="default"/>
      </w:rPr>
    </w:lvl>
    <w:lvl w:ilvl="1">
      <w:start w:val="1"/>
      <w:numFmt w:val="lowerLetter"/>
      <w:lvlText w:val="%2."/>
      <w:lvlJc w:val="left"/>
      <w:pPr>
        <w:ind w:left="720" w:firstLine="0"/>
      </w:pPr>
      <w:rPr>
        <w:rFonts w:hint="default"/>
      </w:rPr>
    </w:lvl>
    <w:lvl w:ilvl="2">
      <w:start w:val="1"/>
      <w:numFmt w:val="lowerRoman"/>
      <w:lvlText w:val="%3."/>
      <w:lvlJc w:val="left"/>
      <w:pPr>
        <w:ind w:left="1080" w:firstLine="0"/>
      </w:pPr>
      <w:rPr>
        <w:rFonts w:hint="default"/>
      </w:rPr>
    </w:lvl>
    <w:lvl w:ilvl="3">
      <w:start w:val="1"/>
      <w:numFmt w:val="decimal"/>
      <w:lvlText w:val="(%4)"/>
      <w:lvlJc w:val="left"/>
      <w:pPr>
        <w:ind w:left="1440" w:firstLine="0"/>
      </w:pPr>
      <w:rPr>
        <w:rFonts w:hint="default"/>
      </w:rPr>
    </w:lvl>
    <w:lvl w:ilvl="4">
      <w:start w:val="1"/>
      <w:numFmt w:val="lowerLetter"/>
      <w:lvlText w:val="(%5)"/>
      <w:lvlJc w:val="left"/>
      <w:pPr>
        <w:ind w:left="1800" w:firstLine="0"/>
      </w:pPr>
      <w:rPr>
        <w:rFonts w:hint="default"/>
      </w:rPr>
    </w:lvl>
    <w:lvl w:ilvl="5">
      <w:start w:val="1"/>
      <w:numFmt w:val="lowerRoman"/>
      <w:lvlText w:val="(%6)"/>
      <w:lvlJc w:val="left"/>
      <w:pPr>
        <w:ind w:left="2160" w:firstLine="0"/>
      </w:pPr>
      <w:rPr>
        <w:rFonts w:hint="default"/>
      </w:rPr>
    </w:lvl>
    <w:lvl w:ilvl="6">
      <w:start w:val="1"/>
      <w:numFmt w:val="decimal"/>
      <w:lvlText w:val="%7)"/>
      <w:lvlJc w:val="left"/>
      <w:pPr>
        <w:ind w:left="2520" w:firstLine="0"/>
      </w:pPr>
      <w:rPr>
        <w:rFonts w:hint="default"/>
      </w:rPr>
    </w:lvl>
    <w:lvl w:ilvl="7">
      <w:start w:val="1"/>
      <w:numFmt w:val="upperLetter"/>
      <w:lvlText w:val="%8)"/>
      <w:lvlJc w:val="left"/>
      <w:pPr>
        <w:ind w:left="2880" w:firstLine="0"/>
      </w:pPr>
      <w:rPr>
        <w:rFonts w:hint="default"/>
      </w:rPr>
    </w:lvl>
    <w:lvl w:ilvl="8">
      <w:start w:val="1"/>
      <w:numFmt w:val="upperRoman"/>
      <w:lvlText w:val="%9)"/>
      <w:lvlJc w:val="left"/>
      <w:pPr>
        <w:ind w:left="3240" w:firstLine="0"/>
      </w:pPr>
      <w:rPr>
        <w:rFonts w:hint="default"/>
      </w:rPr>
    </w:lvl>
  </w:abstractNum>
  <w:abstractNum w:abstractNumId="4" w15:restartNumberingAfterBreak="0">
    <w:nsid w:val="33D64CD3"/>
    <w:multiLevelType w:val="multilevel"/>
    <w:tmpl w:val="4A1EF890"/>
    <w:numStyleLink w:val="NDOHPleadingII"/>
  </w:abstractNum>
  <w:abstractNum w:abstractNumId="5" w15:restartNumberingAfterBreak="0">
    <w:nsid w:val="41A22E68"/>
    <w:multiLevelType w:val="hybridMultilevel"/>
    <w:tmpl w:val="A2E6D1DC"/>
    <w:lvl w:ilvl="0" w:tplc="A2F05C18">
      <w:numFmt w:val="bullet"/>
      <w:lvlText w:val=""/>
      <w:lvlJc w:val="left"/>
      <w:pPr>
        <w:ind w:left="720" w:hanging="360"/>
      </w:pPr>
      <w:rPr>
        <w:rFonts w:ascii="Wingdings" w:eastAsia="Calibri" w:hAnsi="Wingdings" w:cs="Times New Roman"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4D84944"/>
    <w:multiLevelType w:val="multilevel"/>
    <w:tmpl w:val="3E92CD7E"/>
    <w:styleLink w:val="NDOHOutline"/>
    <w:lvl w:ilvl="0">
      <w:start w:val="1"/>
      <w:numFmt w:val="upperRoman"/>
      <w:lvlText w:val="%1."/>
      <w:lvlJc w:val="center"/>
      <w:pPr>
        <w:ind w:left="0" w:firstLine="0"/>
      </w:pPr>
      <w:rPr>
        <w:rFonts w:ascii="Times New Roman Bold" w:hAnsi="Times New Roman Bold" w:hint="default"/>
        <w:b/>
        <w:i w:val="0"/>
        <w:color w:val="000000" w:themeColor="text1"/>
        <w:sz w:val="24"/>
      </w:rPr>
    </w:lvl>
    <w:lvl w:ilvl="1">
      <w:start w:val="1"/>
      <w:numFmt w:val="upperLetter"/>
      <w:lvlText w:val="%2."/>
      <w:lvlJc w:val="left"/>
      <w:pPr>
        <w:ind w:left="720" w:firstLine="0"/>
      </w:pPr>
      <w:rPr>
        <w:rFonts w:ascii="Times New Roman Bold" w:hAnsi="Times New Roman Bold" w:hint="default"/>
        <w:b/>
        <w:sz w:val="24"/>
      </w:rPr>
    </w:lvl>
    <w:lvl w:ilvl="2">
      <w:start w:val="1"/>
      <w:numFmt w:val="decimal"/>
      <w:lvlText w:val="%3."/>
      <w:lvlJc w:val="left"/>
      <w:pPr>
        <w:ind w:left="1440" w:firstLine="0"/>
      </w:pPr>
      <w:rPr>
        <w:rFonts w:ascii="Times New Roman" w:hAnsi="Times New Roman" w:hint="default"/>
        <w:b w:val="0"/>
        <w:i w:val="0"/>
        <w:sz w:val="24"/>
      </w:rPr>
    </w:lvl>
    <w:lvl w:ilvl="3">
      <w:start w:val="1"/>
      <w:numFmt w:val="lowerLetter"/>
      <w:lvlText w:val="%4."/>
      <w:lvlJc w:val="left"/>
      <w:pPr>
        <w:ind w:left="2160" w:firstLine="0"/>
      </w:pPr>
      <w:rPr>
        <w:rFonts w:ascii="Times New Roman" w:hAnsi="Times New Roman" w:hint="default"/>
        <w:b w:val="0"/>
        <w:i w:val="0"/>
        <w:sz w:val="24"/>
      </w:rPr>
    </w:lvl>
    <w:lvl w:ilvl="4">
      <w:start w:val="1"/>
      <w:numFmt w:val="decimal"/>
      <w:lvlText w:val="%5)"/>
      <w:lvlJc w:val="left"/>
      <w:pPr>
        <w:ind w:left="2880" w:firstLine="0"/>
      </w:pPr>
      <w:rPr>
        <w:rFonts w:ascii="Times New Roman" w:hAnsi="Times New Roman" w:hint="default"/>
        <w:b w:val="0"/>
        <w:i w:val="0"/>
        <w:sz w:val="24"/>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decimal"/>
      <w:lvlRestart w:val="0"/>
      <w:lvlText w:val="%8."/>
      <w:lvlJc w:val="left"/>
      <w:pPr>
        <w:ind w:left="0" w:firstLine="720"/>
      </w:pPr>
      <w:rPr>
        <w:rFonts w:ascii="Times New Roman" w:hAnsi="Times New Roman" w:hint="default"/>
        <w:b w:val="0"/>
        <w:i w:val="0"/>
        <w:color w:val="000000" w:themeColor="text1"/>
        <w:sz w:val="24"/>
      </w:rPr>
    </w:lvl>
    <w:lvl w:ilvl="8">
      <w:start w:val="1"/>
      <w:numFmt w:val="lowerLetter"/>
      <w:lvlText w:val="%9)"/>
      <w:lvlJc w:val="left"/>
      <w:pPr>
        <w:ind w:left="720" w:firstLine="0"/>
      </w:pPr>
      <w:rPr>
        <w:rFonts w:ascii="Times New Roman" w:hAnsi="Times New Roman" w:hint="default"/>
        <w:b w:val="0"/>
        <w:i w:val="0"/>
        <w:color w:val="000000" w:themeColor="text1"/>
        <w:sz w:val="24"/>
      </w:rPr>
    </w:lvl>
  </w:abstractNum>
  <w:abstractNum w:abstractNumId="7" w15:restartNumberingAfterBreak="0">
    <w:nsid w:val="622E3BDE"/>
    <w:multiLevelType w:val="multilevel"/>
    <w:tmpl w:val="F5FEB1CA"/>
    <w:lvl w:ilvl="0">
      <w:start w:val="1"/>
      <w:numFmt w:val="upperRoman"/>
      <w:pStyle w:val="Heading1"/>
      <w:lvlText w:val="%1."/>
      <w:lvlJc w:val="left"/>
      <w:pPr>
        <w:ind w:left="720" w:hanging="720"/>
      </w:pPr>
      <w:rPr>
        <w:rFonts w:ascii="Times New Roman Bold" w:hAnsi="Times New Roman Bold" w:hint="default"/>
        <w:b/>
        <w:i w:val="0"/>
        <w:color w:val="000000" w:themeColor="text1"/>
        <w:sz w:val="24"/>
      </w:rPr>
    </w:lvl>
    <w:lvl w:ilvl="1">
      <w:start w:val="1"/>
      <w:numFmt w:val="upperLetter"/>
      <w:pStyle w:val="Heading2"/>
      <w:lvlText w:val="%2."/>
      <w:lvlJc w:val="left"/>
      <w:pPr>
        <w:ind w:left="1440" w:hanging="720"/>
      </w:pPr>
      <w:rPr>
        <w:rFonts w:ascii="Times New Roman" w:hAnsi="Times New Roman" w:hint="default"/>
        <w:b w:val="0"/>
        <w:i w:val="0"/>
        <w:sz w:val="24"/>
      </w:rPr>
    </w:lvl>
    <w:lvl w:ilvl="2">
      <w:start w:val="1"/>
      <w:numFmt w:val="decimal"/>
      <w:pStyle w:val="Heading3"/>
      <w:lvlText w:val="%3."/>
      <w:lvlJc w:val="left"/>
      <w:pPr>
        <w:ind w:left="2160" w:hanging="720"/>
      </w:pPr>
      <w:rPr>
        <w:rFonts w:ascii="Times New Roman" w:hAnsi="Times New Roman" w:hint="default"/>
        <w:b w:val="0"/>
        <w:i w:val="0"/>
        <w:sz w:val="24"/>
      </w:rPr>
    </w:lvl>
    <w:lvl w:ilvl="3">
      <w:start w:val="1"/>
      <w:numFmt w:val="lowerLetter"/>
      <w:lvlText w:val="%4."/>
      <w:lvlJc w:val="left"/>
      <w:pPr>
        <w:ind w:left="2880" w:hanging="720"/>
      </w:pPr>
      <w:rPr>
        <w:rFonts w:ascii="Times New Roman" w:hAnsi="Times New Roman" w:hint="default"/>
        <w:b w:val="0"/>
        <w:i w:val="0"/>
        <w:sz w:val="24"/>
      </w:rPr>
    </w:lvl>
    <w:lvl w:ilvl="4">
      <w:start w:val="1"/>
      <w:numFmt w:val="lowerRoman"/>
      <w:lvlText w:val="%5."/>
      <w:lvlJc w:val="left"/>
      <w:pPr>
        <w:ind w:left="3600" w:hanging="720"/>
      </w:pPr>
      <w:rPr>
        <w:rFonts w:ascii="Times New Roman" w:hAnsi="Times New Roman" w:hint="default"/>
        <w:b w:val="0"/>
        <w:i w:val="0"/>
        <w:sz w:val="24"/>
      </w:rPr>
    </w:lvl>
    <w:lvl w:ilvl="5">
      <w:start w:val="1"/>
      <w:numFmt w:val="lowerLetter"/>
      <w:lvlText w:val="%6)"/>
      <w:lvlJc w:val="left"/>
      <w:pPr>
        <w:ind w:left="3600" w:hanging="720"/>
      </w:pPr>
      <w:rPr>
        <w:rFonts w:hint="default"/>
      </w:rPr>
    </w:lvl>
    <w:lvl w:ilvl="6">
      <w:start w:val="1"/>
      <w:numFmt w:val="lowerRoman"/>
      <w:lvlText w:val="%7)"/>
      <w:lvlJc w:val="left"/>
      <w:pPr>
        <w:ind w:left="3600" w:hanging="720"/>
      </w:pPr>
      <w:rPr>
        <w:rFonts w:hint="default"/>
        <w:caps w:val="0"/>
      </w:rPr>
    </w:lvl>
    <w:lvl w:ilvl="7">
      <w:start w:val="1"/>
      <w:numFmt w:val="lowerLetter"/>
      <w:lvlRestart w:val="0"/>
      <w:lvlText w:val="(%8)"/>
      <w:lvlJc w:val="left"/>
      <w:pPr>
        <w:ind w:left="3600" w:hanging="720"/>
      </w:pPr>
      <w:rPr>
        <w:rFonts w:ascii="Times New Roman" w:hAnsi="Times New Roman" w:hint="default"/>
        <w:b w:val="0"/>
        <w:i w:val="0"/>
        <w:caps w:val="0"/>
        <w:color w:val="000000" w:themeColor="text1"/>
        <w:sz w:val="24"/>
      </w:rPr>
    </w:lvl>
    <w:lvl w:ilvl="8">
      <w:start w:val="1"/>
      <w:numFmt w:val="lowerRoman"/>
      <w:lvlText w:val="(%9)"/>
      <w:lvlJc w:val="left"/>
      <w:pPr>
        <w:ind w:left="3600" w:hanging="720"/>
      </w:pPr>
      <w:rPr>
        <w:rFonts w:ascii="Times New Roman" w:hAnsi="Times New Roman" w:hint="default"/>
        <w:b w:val="0"/>
        <w:i w:val="0"/>
        <w:caps w:val="0"/>
        <w:color w:val="000000" w:themeColor="text1"/>
        <w:sz w:val="24"/>
      </w:rPr>
    </w:lvl>
  </w:abstractNum>
  <w:num w:numId="1" w16cid:durableId="949969195">
    <w:abstractNumId w:val="0"/>
  </w:num>
  <w:num w:numId="2" w16cid:durableId="853034080">
    <w:abstractNumId w:val="6"/>
  </w:num>
  <w:num w:numId="3" w16cid:durableId="631374905">
    <w:abstractNumId w:val="3"/>
  </w:num>
  <w:num w:numId="4" w16cid:durableId="1701276186">
    <w:abstractNumId w:val="2"/>
  </w:num>
  <w:num w:numId="5" w16cid:durableId="1898468282">
    <w:abstractNumId w:val="7"/>
  </w:num>
  <w:num w:numId="6" w16cid:durableId="72046355">
    <w:abstractNumId w:val="1"/>
  </w:num>
  <w:num w:numId="7" w16cid:durableId="139159518">
    <w:abstractNumId w:val="4"/>
  </w:num>
  <w:num w:numId="8" w16cid:durableId="1077560721">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CITRUS_JURISDICTION" w:val="Bluebook"/>
    <w:docVar w:name="CITRUS_DOC_GUID" w:val="{EBC9C0FD-189D-45A4-B232-37CCF5E8070E}"/>
  </w:docVars>
  <w:rsids>
    <w:rsidRoot w:val="004D6758"/>
    <w:rsid w:val="000008E7"/>
    <w:rsid w:val="0000461A"/>
    <w:rsid w:val="00007FEC"/>
    <w:rsid w:val="000175D3"/>
    <w:rsid w:val="00041790"/>
    <w:rsid w:val="00063F4C"/>
    <w:rsid w:val="00076572"/>
    <w:rsid w:val="000872F4"/>
    <w:rsid w:val="00096360"/>
    <w:rsid w:val="000A0311"/>
    <w:rsid w:val="000A1D5F"/>
    <w:rsid w:val="000C6DE8"/>
    <w:rsid w:val="000D2215"/>
    <w:rsid w:val="000F72B2"/>
    <w:rsid w:val="000F74A7"/>
    <w:rsid w:val="00104FC4"/>
    <w:rsid w:val="00110882"/>
    <w:rsid w:val="00143A9F"/>
    <w:rsid w:val="00153989"/>
    <w:rsid w:val="001558D3"/>
    <w:rsid w:val="0017093D"/>
    <w:rsid w:val="001939A1"/>
    <w:rsid w:val="00197C7E"/>
    <w:rsid w:val="001D10C9"/>
    <w:rsid w:val="001E53BB"/>
    <w:rsid w:val="001F37A5"/>
    <w:rsid w:val="00222C0C"/>
    <w:rsid w:val="00232F7D"/>
    <w:rsid w:val="00254865"/>
    <w:rsid w:val="00261F18"/>
    <w:rsid w:val="00262B62"/>
    <w:rsid w:val="0026376A"/>
    <w:rsid w:val="0026513F"/>
    <w:rsid w:val="00281DEA"/>
    <w:rsid w:val="002A6117"/>
    <w:rsid w:val="002D30EA"/>
    <w:rsid w:val="002D58A5"/>
    <w:rsid w:val="002E721A"/>
    <w:rsid w:val="003118FA"/>
    <w:rsid w:val="0032613D"/>
    <w:rsid w:val="003370A3"/>
    <w:rsid w:val="00367FCA"/>
    <w:rsid w:val="00387447"/>
    <w:rsid w:val="003D1BD9"/>
    <w:rsid w:val="003E7438"/>
    <w:rsid w:val="003F4AAD"/>
    <w:rsid w:val="003F57F0"/>
    <w:rsid w:val="00416414"/>
    <w:rsid w:val="00420153"/>
    <w:rsid w:val="00422AE6"/>
    <w:rsid w:val="00441514"/>
    <w:rsid w:val="00442C07"/>
    <w:rsid w:val="00443D1B"/>
    <w:rsid w:val="00445B44"/>
    <w:rsid w:val="00446AFE"/>
    <w:rsid w:val="0046507F"/>
    <w:rsid w:val="0048558F"/>
    <w:rsid w:val="004C15FD"/>
    <w:rsid w:val="004C6252"/>
    <w:rsid w:val="004D464A"/>
    <w:rsid w:val="004D6758"/>
    <w:rsid w:val="004F18BE"/>
    <w:rsid w:val="004F74F2"/>
    <w:rsid w:val="00502982"/>
    <w:rsid w:val="0050421C"/>
    <w:rsid w:val="005271D3"/>
    <w:rsid w:val="00547450"/>
    <w:rsid w:val="00551D97"/>
    <w:rsid w:val="00556E54"/>
    <w:rsid w:val="00584901"/>
    <w:rsid w:val="005863B8"/>
    <w:rsid w:val="00586828"/>
    <w:rsid w:val="0059390B"/>
    <w:rsid w:val="00596722"/>
    <w:rsid w:val="00597B39"/>
    <w:rsid w:val="005A069D"/>
    <w:rsid w:val="005A1614"/>
    <w:rsid w:val="005C47FB"/>
    <w:rsid w:val="005D6711"/>
    <w:rsid w:val="005E578A"/>
    <w:rsid w:val="005F1E27"/>
    <w:rsid w:val="005F69A2"/>
    <w:rsid w:val="006377AC"/>
    <w:rsid w:val="00637F3C"/>
    <w:rsid w:val="006446E6"/>
    <w:rsid w:val="0066681F"/>
    <w:rsid w:val="00692245"/>
    <w:rsid w:val="006A1C13"/>
    <w:rsid w:val="006B3762"/>
    <w:rsid w:val="006C270D"/>
    <w:rsid w:val="006D1021"/>
    <w:rsid w:val="006D6E15"/>
    <w:rsid w:val="006F3FF5"/>
    <w:rsid w:val="007005AA"/>
    <w:rsid w:val="00704AF0"/>
    <w:rsid w:val="007120C1"/>
    <w:rsid w:val="007238D0"/>
    <w:rsid w:val="007430FC"/>
    <w:rsid w:val="0074707F"/>
    <w:rsid w:val="0074785C"/>
    <w:rsid w:val="0075489F"/>
    <w:rsid w:val="00762B2D"/>
    <w:rsid w:val="00774647"/>
    <w:rsid w:val="00795BB7"/>
    <w:rsid w:val="007A1108"/>
    <w:rsid w:val="007A1CB1"/>
    <w:rsid w:val="007C1881"/>
    <w:rsid w:val="007D29D3"/>
    <w:rsid w:val="007F26EB"/>
    <w:rsid w:val="007F42ED"/>
    <w:rsid w:val="0080754E"/>
    <w:rsid w:val="00826254"/>
    <w:rsid w:val="008758AA"/>
    <w:rsid w:val="008822BA"/>
    <w:rsid w:val="008A5E1F"/>
    <w:rsid w:val="008B5FA2"/>
    <w:rsid w:val="008D4A25"/>
    <w:rsid w:val="008E51F6"/>
    <w:rsid w:val="00906CEF"/>
    <w:rsid w:val="00913B4D"/>
    <w:rsid w:val="00960199"/>
    <w:rsid w:val="00960287"/>
    <w:rsid w:val="0096339D"/>
    <w:rsid w:val="00971148"/>
    <w:rsid w:val="009719BC"/>
    <w:rsid w:val="00990730"/>
    <w:rsid w:val="009A33DD"/>
    <w:rsid w:val="009D0590"/>
    <w:rsid w:val="009D06C7"/>
    <w:rsid w:val="009D3063"/>
    <w:rsid w:val="009F428F"/>
    <w:rsid w:val="00A15FE1"/>
    <w:rsid w:val="00A20902"/>
    <w:rsid w:val="00A20D31"/>
    <w:rsid w:val="00A2459E"/>
    <w:rsid w:val="00A24647"/>
    <w:rsid w:val="00A3492E"/>
    <w:rsid w:val="00A44A5E"/>
    <w:rsid w:val="00A630D6"/>
    <w:rsid w:val="00A852A2"/>
    <w:rsid w:val="00A85E3C"/>
    <w:rsid w:val="00A85FD4"/>
    <w:rsid w:val="00AB0053"/>
    <w:rsid w:val="00B127FC"/>
    <w:rsid w:val="00B12F71"/>
    <w:rsid w:val="00B2285F"/>
    <w:rsid w:val="00B3738A"/>
    <w:rsid w:val="00B41D3E"/>
    <w:rsid w:val="00B447E4"/>
    <w:rsid w:val="00B507E4"/>
    <w:rsid w:val="00B52D74"/>
    <w:rsid w:val="00B5462E"/>
    <w:rsid w:val="00B60FA0"/>
    <w:rsid w:val="00B80FED"/>
    <w:rsid w:val="00B9030E"/>
    <w:rsid w:val="00B9785D"/>
    <w:rsid w:val="00BA1A0C"/>
    <w:rsid w:val="00BC1C4F"/>
    <w:rsid w:val="00BC4DA3"/>
    <w:rsid w:val="00BD4822"/>
    <w:rsid w:val="00BD75E7"/>
    <w:rsid w:val="00BE0400"/>
    <w:rsid w:val="00BF0C14"/>
    <w:rsid w:val="00C01AA2"/>
    <w:rsid w:val="00C331EF"/>
    <w:rsid w:val="00C34A49"/>
    <w:rsid w:val="00C45157"/>
    <w:rsid w:val="00C47CC4"/>
    <w:rsid w:val="00C53321"/>
    <w:rsid w:val="00CB2A0F"/>
    <w:rsid w:val="00CD42C6"/>
    <w:rsid w:val="00CF71B4"/>
    <w:rsid w:val="00D02C86"/>
    <w:rsid w:val="00D07004"/>
    <w:rsid w:val="00D4265B"/>
    <w:rsid w:val="00D535AF"/>
    <w:rsid w:val="00D96BA6"/>
    <w:rsid w:val="00DA7BAF"/>
    <w:rsid w:val="00DC26D4"/>
    <w:rsid w:val="00DC66F2"/>
    <w:rsid w:val="00DE5638"/>
    <w:rsid w:val="00DE6CBC"/>
    <w:rsid w:val="00DF709D"/>
    <w:rsid w:val="00E01587"/>
    <w:rsid w:val="00E26728"/>
    <w:rsid w:val="00E26A71"/>
    <w:rsid w:val="00E30A6C"/>
    <w:rsid w:val="00E346A6"/>
    <w:rsid w:val="00E57450"/>
    <w:rsid w:val="00E701DF"/>
    <w:rsid w:val="00E72CB3"/>
    <w:rsid w:val="00E84029"/>
    <w:rsid w:val="00E85016"/>
    <w:rsid w:val="00E93436"/>
    <w:rsid w:val="00EC225A"/>
    <w:rsid w:val="00EC6EDF"/>
    <w:rsid w:val="00ED1FB4"/>
    <w:rsid w:val="00ED57F9"/>
    <w:rsid w:val="00EE05C9"/>
    <w:rsid w:val="00EE4ED0"/>
    <w:rsid w:val="00EE5F94"/>
    <w:rsid w:val="00F13051"/>
    <w:rsid w:val="00F251E2"/>
    <w:rsid w:val="00F3368B"/>
    <w:rsid w:val="00F341C6"/>
    <w:rsid w:val="00F35290"/>
    <w:rsid w:val="00F57150"/>
    <w:rsid w:val="00F649F1"/>
    <w:rsid w:val="00F66E72"/>
    <w:rsid w:val="00F7102F"/>
    <w:rsid w:val="00F856BA"/>
    <w:rsid w:val="00FA7E87"/>
    <w:rsid w:val="00FB2903"/>
    <w:rsid w:val="00FB3859"/>
    <w:rsid w:val="00FC72FA"/>
    <w:rsid w:val="00FE4965"/>
    <w:rsid w:val="00FF2EEE"/>
    <w:rsid w:val="00FF46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16047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color w:val="000000" w:themeColor="text1"/>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6" w:qFormat="1"/>
    <w:lsdException w:name="heading 2" w:semiHidden="1" w:uiPriority="6" w:unhideWhenUsed="1" w:qFormat="1"/>
    <w:lsdException w:name="heading 3" w:semiHidden="1" w:uiPriority="6" w:unhideWhenUsed="1" w:qFormat="1"/>
    <w:lsdException w:name="heading 4" w:semiHidden="1" w:uiPriority="6" w:unhideWhenUsed="1" w:qFormat="1"/>
    <w:lsdException w:name="heading 5" w:semiHidden="1" w:uiPriority="9" w:unhideWhenUsed="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qFormat="1"/>
    <w:lsdException w:name="Closing" w:semiHidden="1" w:unhideWhenUsed="1"/>
    <w:lsdException w:name="Signature" w:semiHidden="1" w:uiPriority="2" w:unhideWhenUsed="1" w:qFormat="1"/>
    <w:lsdException w:name="Default Paragraph Font" w:semiHidden="1" w:uiPriority="1" w:unhideWhenUsed="1"/>
    <w:lsdException w:name="Body Text" w:semiHidden="1" w:uiPriority="2"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 w:qFormat="1"/>
    <w:lsdException w:name="Salutation" w:semiHidden="1" w:unhideWhenUsed="1"/>
    <w:lsdException w:name="Date" w:semiHidden="1" w:unhideWhenUsed="1"/>
    <w:lsdException w:name="Body Text First Indent" w:semiHidden="1" w:uiPriority="1" w:unhideWhenUsed="1" w:qFormat="1"/>
    <w:lsdException w:name="Body Text First Indent 2" w:semiHidden="1" w:uiPriority="1" w:unhideWhenUsed="1" w:qFormat="1"/>
    <w:lsdException w:name="Note Heading" w:semiHidden="1" w:unhideWhenUsed="1"/>
    <w:lsdException w:name="Body Text 2" w:semiHidden="1" w:uiPriority="2" w:unhideWhenUsed="1" w:qFormat="1"/>
    <w:lsdException w:name="Body Text 3" w:semiHidden="1" w:unhideWhenUsed="1"/>
    <w:lsdException w:name="Body Text Indent 2" w:semiHidden="1" w:unhideWhenUsed="1"/>
    <w:lsdException w:name="Body Text Indent 3" w:semiHidden="1" w:unhideWhenUsed="1"/>
    <w:lsdException w:name="Block Text" w:semiHidden="1" w:uiPriority="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72FA"/>
  </w:style>
  <w:style w:type="paragraph" w:styleId="Heading1">
    <w:name w:val="heading 1"/>
    <w:basedOn w:val="Normal"/>
    <w:next w:val="Normal"/>
    <w:link w:val="Heading1Char"/>
    <w:uiPriority w:val="6"/>
    <w:qFormat/>
    <w:rsid w:val="00FC72FA"/>
    <w:pPr>
      <w:keepNext/>
      <w:keepLines/>
      <w:widowControl w:val="0"/>
      <w:numPr>
        <w:numId w:val="5"/>
      </w:numPr>
      <w:spacing w:after="240"/>
      <w:outlineLvl w:val="0"/>
    </w:pPr>
    <w:rPr>
      <w:rFonts w:asciiTheme="majorHAnsi" w:eastAsiaTheme="majorEastAsia" w:hAnsiTheme="majorHAnsi" w:cstheme="majorBidi"/>
      <w:b/>
      <w:bCs/>
      <w:caps/>
      <w:szCs w:val="28"/>
      <w:u w:val="single"/>
    </w:rPr>
  </w:style>
  <w:style w:type="paragraph" w:styleId="Heading2">
    <w:name w:val="heading 2"/>
    <w:basedOn w:val="Heading1"/>
    <w:next w:val="Normal"/>
    <w:link w:val="Heading2Char"/>
    <w:uiPriority w:val="6"/>
    <w:qFormat/>
    <w:rsid w:val="00FC72FA"/>
    <w:pPr>
      <w:numPr>
        <w:ilvl w:val="1"/>
      </w:numPr>
      <w:outlineLvl w:val="1"/>
    </w:pPr>
    <w:rPr>
      <w:b w:val="0"/>
      <w:bCs w:val="0"/>
      <w:szCs w:val="26"/>
    </w:rPr>
  </w:style>
  <w:style w:type="paragraph" w:styleId="Heading3">
    <w:name w:val="heading 3"/>
    <w:basedOn w:val="Heading2"/>
    <w:next w:val="Normal"/>
    <w:link w:val="Heading3Char"/>
    <w:uiPriority w:val="6"/>
    <w:qFormat/>
    <w:rsid w:val="00FC72FA"/>
    <w:pPr>
      <w:numPr>
        <w:ilvl w:val="2"/>
      </w:numPr>
      <w:outlineLvl w:val="2"/>
    </w:pPr>
    <w:rPr>
      <w:caps w:val="0"/>
    </w:rPr>
  </w:style>
  <w:style w:type="paragraph" w:styleId="Heading4">
    <w:name w:val="heading 4"/>
    <w:basedOn w:val="Heading3"/>
    <w:next w:val="Normal"/>
    <w:link w:val="Heading4Char"/>
    <w:uiPriority w:val="6"/>
    <w:qFormat/>
    <w:rsid w:val="00FC72FA"/>
    <w:pPr>
      <w:numPr>
        <w:ilvl w:val="3"/>
        <w:numId w:val="1"/>
      </w:numPr>
      <w:tabs>
        <w:tab w:val="clear" w:pos="720"/>
      </w:tabs>
      <w:ind w:left="2880" w:hanging="720"/>
      <w:outlineLvl w:val="3"/>
    </w:pPr>
    <w:rPr>
      <w:iCs/>
      <w:u w:val="none"/>
    </w:rPr>
  </w:style>
  <w:style w:type="paragraph" w:styleId="Heading5">
    <w:name w:val="heading 5"/>
    <w:basedOn w:val="Heading4"/>
    <w:next w:val="Normal"/>
    <w:link w:val="Heading5Char"/>
    <w:uiPriority w:val="6"/>
    <w:unhideWhenUsed/>
    <w:rsid w:val="003F57F0"/>
    <w:pPr>
      <w:numPr>
        <w:ilvl w:val="4"/>
      </w:numPr>
      <w:outlineLvl w:val="4"/>
    </w:pPr>
    <w:rPr>
      <w:bCs/>
      <w:iCs w:val="0"/>
    </w:rPr>
  </w:style>
  <w:style w:type="paragraph" w:styleId="Heading6">
    <w:name w:val="heading 6"/>
    <w:basedOn w:val="Heading5"/>
    <w:next w:val="Normal"/>
    <w:link w:val="Heading6Char"/>
    <w:uiPriority w:val="6"/>
    <w:unhideWhenUsed/>
    <w:rsid w:val="003F57F0"/>
    <w:pPr>
      <w:numPr>
        <w:ilvl w:val="5"/>
      </w:numPr>
      <w:outlineLvl w:val="5"/>
    </w:pPr>
    <w:rPr>
      <w:iCs/>
    </w:rPr>
  </w:style>
  <w:style w:type="paragraph" w:styleId="Heading7">
    <w:name w:val="heading 7"/>
    <w:basedOn w:val="Heading6"/>
    <w:next w:val="Normal"/>
    <w:link w:val="Heading7Char"/>
    <w:uiPriority w:val="6"/>
    <w:unhideWhenUsed/>
    <w:rsid w:val="0026513F"/>
    <w:pPr>
      <w:numPr>
        <w:ilvl w:val="6"/>
      </w:numPr>
      <w:outlineLvl w:val="6"/>
    </w:pPr>
    <w:rPr>
      <w:iCs w:val="0"/>
    </w:rPr>
  </w:style>
  <w:style w:type="paragraph" w:styleId="Heading8">
    <w:name w:val="heading 8"/>
    <w:basedOn w:val="Heading7"/>
    <w:next w:val="Normal"/>
    <w:link w:val="Heading8Char"/>
    <w:uiPriority w:val="10"/>
    <w:unhideWhenUsed/>
    <w:rsid w:val="00F66E72"/>
    <w:pPr>
      <w:numPr>
        <w:ilvl w:val="7"/>
      </w:numPr>
      <w:outlineLvl w:val="7"/>
    </w:pPr>
    <w:rPr>
      <w:szCs w:val="20"/>
    </w:rPr>
  </w:style>
  <w:style w:type="paragraph" w:styleId="Heading9">
    <w:name w:val="heading 9"/>
    <w:basedOn w:val="Heading8"/>
    <w:next w:val="Normal"/>
    <w:link w:val="Heading9Char"/>
    <w:uiPriority w:val="11"/>
    <w:unhideWhenUsed/>
    <w:rsid w:val="0026513F"/>
    <w:pPr>
      <w:numPr>
        <w:ilvl w:val="8"/>
      </w:numPr>
      <w:outlineLvl w:val="8"/>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6"/>
    <w:rsid w:val="00FC72FA"/>
    <w:rPr>
      <w:rFonts w:asciiTheme="majorHAnsi" w:eastAsiaTheme="majorEastAsia" w:hAnsiTheme="majorHAnsi" w:cstheme="majorBidi"/>
      <w:b/>
      <w:bCs/>
      <w:caps/>
      <w:szCs w:val="28"/>
      <w:u w:val="single"/>
    </w:rPr>
  </w:style>
  <w:style w:type="paragraph" w:styleId="NoSpacing">
    <w:name w:val="No Spacing"/>
    <w:link w:val="NoSpacingChar"/>
    <w:uiPriority w:val="99"/>
    <w:unhideWhenUsed/>
    <w:rsid w:val="00F66E72"/>
  </w:style>
  <w:style w:type="paragraph" w:styleId="ListParagraph">
    <w:name w:val="List Paragraph"/>
    <w:aliases w:val="List I"/>
    <w:basedOn w:val="Normal"/>
    <w:uiPriority w:val="34"/>
    <w:qFormat/>
    <w:rsid w:val="00FC72FA"/>
    <w:pPr>
      <w:numPr>
        <w:numId w:val="6"/>
      </w:numPr>
      <w:spacing w:line="480" w:lineRule="auto"/>
      <w:contextualSpacing/>
    </w:pPr>
  </w:style>
  <w:style w:type="paragraph" w:styleId="FootnoteText">
    <w:name w:val="footnote text"/>
    <w:basedOn w:val="Normal"/>
    <w:link w:val="FootnoteTextChar"/>
    <w:uiPriority w:val="99"/>
    <w:semiHidden/>
    <w:rsid w:val="00F66E72"/>
    <w:pPr>
      <w:widowControl w:val="0"/>
      <w:spacing w:after="120"/>
    </w:pPr>
    <w:rPr>
      <w:szCs w:val="20"/>
    </w:rPr>
  </w:style>
  <w:style w:type="character" w:customStyle="1" w:styleId="FootnoteTextChar">
    <w:name w:val="Footnote Text Char"/>
    <w:basedOn w:val="DefaultParagraphFont"/>
    <w:link w:val="FootnoteText"/>
    <w:uiPriority w:val="99"/>
    <w:semiHidden/>
    <w:rsid w:val="00F341C6"/>
    <w:rPr>
      <w:szCs w:val="20"/>
    </w:rPr>
  </w:style>
  <w:style w:type="character" w:styleId="FootnoteReference">
    <w:name w:val="footnote reference"/>
    <w:basedOn w:val="DefaultParagraphFont"/>
    <w:uiPriority w:val="99"/>
    <w:semiHidden/>
    <w:unhideWhenUsed/>
    <w:rsid w:val="007430FC"/>
    <w:rPr>
      <w:vertAlign w:val="superscript"/>
    </w:rPr>
  </w:style>
  <w:style w:type="paragraph" w:styleId="BalloonText">
    <w:name w:val="Balloon Text"/>
    <w:basedOn w:val="Normal"/>
    <w:link w:val="BalloonTextChar"/>
    <w:uiPriority w:val="99"/>
    <w:semiHidden/>
    <w:unhideWhenUsed/>
    <w:rsid w:val="00F66E72"/>
    <w:rPr>
      <w:rFonts w:ascii="Tahoma" w:hAnsi="Tahoma" w:cs="Tahoma"/>
      <w:sz w:val="16"/>
      <w:szCs w:val="16"/>
    </w:rPr>
  </w:style>
  <w:style w:type="character" w:customStyle="1" w:styleId="BalloonTextChar">
    <w:name w:val="Balloon Text Char"/>
    <w:basedOn w:val="DefaultParagraphFont"/>
    <w:link w:val="BalloonText"/>
    <w:uiPriority w:val="99"/>
    <w:semiHidden/>
    <w:rsid w:val="00F66E72"/>
    <w:rPr>
      <w:rFonts w:ascii="Tahoma" w:eastAsia="Times New Roman" w:hAnsi="Tahoma" w:cs="Tahoma"/>
      <w:sz w:val="16"/>
      <w:szCs w:val="16"/>
    </w:rPr>
  </w:style>
  <w:style w:type="paragraph" w:styleId="BodyTextIndent3">
    <w:name w:val="Body Text Indent 3"/>
    <w:basedOn w:val="Normal"/>
    <w:link w:val="BodyTextIndent3Char"/>
    <w:uiPriority w:val="99"/>
    <w:semiHidden/>
    <w:rsid w:val="00B3738A"/>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1F37A5"/>
    <w:rPr>
      <w:rFonts w:ascii="Times New Roman" w:hAnsi="Times New Roman"/>
      <w:sz w:val="16"/>
      <w:szCs w:val="16"/>
    </w:rPr>
  </w:style>
  <w:style w:type="paragraph" w:styleId="BodyTextIndent2">
    <w:name w:val="Body Text Indent 2"/>
    <w:basedOn w:val="BodyText"/>
    <w:link w:val="BodyTextIndent2Char"/>
    <w:uiPriority w:val="99"/>
    <w:semiHidden/>
    <w:rsid w:val="00A15FE1"/>
    <w:pPr>
      <w:spacing w:after="120" w:line="480" w:lineRule="auto"/>
      <w:ind w:firstLine="720"/>
    </w:pPr>
  </w:style>
  <w:style w:type="character" w:customStyle="1" w:styleId="BodyTextIndent2Char">
    <w:name w:val="Body Text Indent 2 Char"/>
    <w:basedOn w:val="DefaultParagraphFont"/>
    <w:link w:val="BodyTextIndent2"/>
    <w:uiPriority w:val="99"/>
    <w:semiHidden/>
    <w:rsid w:val="007120C1"/>
  </w:style>
  <w:style w:type="paragraph" w:styleId="Title">
    <w:name w:val="Title"/>
    <w:basedOn w:val="Normal"/>
    <w:next w:val="Normal"/>
    <w:link w:val="TitleChar"/>
    <w:uiPriority w:val="3"/>
    <w:qFormat/>
    <w:rsid w:val="00FC72FA"/>
    <w:pPr>
      <w:spacing w:after="240"/>
      <w:jc w:val="center"/>
    </w:pPr>
    <w:rPr>
      <w:b/>
      <w:sz w:val="28"/>
      <w:u w:val="single"/>
    </w:rPr>
  </w:style>
  <w:style w:type="character" w:customStyle="1" w:styleId="TitleChar">
    <w:name w:val="Title Char"/>
    <w:basedOn w:val="DefaultParagraphFont"/>
    <w:link w:val="Title"/>
    <w:uiPriority w:val="3"/>
    <w:rsid w:val="00FC72FA"/>
    <w:rPr>
      <w:b/>
      <w:sz w:val="28"/>
      <w:u w:val="single"/>
    </w:rPr>
  </w:style>
  <w:style w:type="paragraph" w:styleId="BodyText2">
    <w:name w:val="Body Text 2"/>
    <w:aliases w:val="Flush DS"/>
    <w:basedOn w:val="BodyText"/>
    <w:link w:val="BodyText2Char"/>
    <w:uiPriority w:val="2"/>
    <w:qFormat/>
    <w:rsid w:val="00FC72FA"/>
    <w:pPr>
      <w:spacing w:line="480" w:lineRule="auto"/>
    </w:pPr>
  </w:style>
  <w:style w:type="character" w:customStyle="1" w:styleId="BodyText2Char">
    <w:name w:val="Body Text 2 Char"/>
    <w:aliases w:val="Flush DS Char"/>
    <w:basedOn w:val="DefaultParagraphFont"/>
    <w:link w:val="BodyText2"/>
    <w:uiPriority w:val="2"/>
    <w:rsid w:val="00FC72FA"/>
  </w:style>
  <w:style w:type="paragraph" w:styleId="Caption">
    <w:name w:val="caption"/>
    <w:basedOn w:val="Normal"/>
    <w:next w:val="Normal"/>
    <w:uiPriority w:val="13"/>
    <w:unhideWhenUsed/>
    <w:rsid w:val="00FB2903"/>
    <w:rPr>
      <w:bCs/>
      <w:caps/>
      <w:szCs w:val="18"/>
    </w:rPr>
  </w:style>
  <w:style w:type="character" w:styleId="CommentReference">
    <w:name w:val="annotation reference"/>
    <w:basedOn w:val="DefaultParagraphFont"/>
    <w:uiPriority w:val="99"/>
    <w:semiHidden/>
    <w:unhideWhenUsed/>
    <w:rsid w:val="00F66E72"/>
    <w:rPr>
      <w:sz w:val="16"/>
      <w:szCs w:val="16"/>
    </w:rPr>
  </w:style>
  <w:style w:type="paragraph" w:styleId="CommentText">
    <w:name w:val="annotation text"/>
    <w:basedOn w:val="Normal"/>
    <w:link w:val="CommentTextChar"/>
    <w:uiPriority w:val="99"/>
    <w:unhideWhenUsed/>
    <w:rsid w:val="00F66E72"/>
    <w:rPr>
      <w:sz w:val="20"/>
      <w:szCs w:val="20"/>
    </w:rPr>
  </w:style>
  <w:style w:type="character" w:customStyle="1" w:styleId="CommentTextChar">
    <w:name w:val="Comment Text Char"/>
    <w:basedOn w:val="DefaultParagraphFont"/>
    <w:link w:val="CommentText"/>
    <w:uiPriority w:val="99"/>
    <w:rsid w:val="00F66E72"/>
    <w:rPr>
      <w:rFonts w:ascii="Times New Roman" w:eastAsia="Times New Roman" w:hAnsi="Times New Roman" w:cs="Times New Roman"/>
      <w:sz w:val="20"/>
      <w:szCs w:val="20"/>
    </w:rPr>
  </w:style>
  <w:style w:type="paragraph" w:styleId="Footer">
    <w:name w:val="footer"/>
    <w:basedOn w:val="Normal"/>
    <w:link w:val="FooterChar"/>
    <w:uiPriority w:val="99"/>
    <w:semiHidden/>
    <w:rsid w:val="00F66E72"/>
    <w:pPr>
      <w:tabs>
        <w:tab w:val="center" w:pos="4680"/>
        <w:tab w:val="right" w:pos="9360"/>
      </w:tabs>
    </w:pPr>
  </w:style>
  <w:style w:type="character" w:customStyle="1" w:styleId="FooterChar">
    <w:name w:val="Footer Char"/>
    <w:basedOn w:val="DefaultParagraphFont"/>
    <w:link w:val="Footer"/>
    <w:uiPriority w:val="99"/>
    <w:semiHidden/>
    <w:rsid w:val="00F341C6"/>
  </w:style>
  <w:style w:type="paragraph" w:styleId="Header">
    <w:name w:val="header"/>
    <w:basedOn w:val="Normal"/>
    <w:link w:val="HeaderChar"/>
    <w:uiPriority w:val="99"/>
    <w:unhideWhenUsed/>
    <w:rsid w:val="00F66E72"/>
    <w:pPr>
      <w:tabs>
        <w:tab w:val="center" w:pos="4680"/>
        <w:tab w:val="right" w:pos="9360"/>
      </w:tabs>
    </w:pPr>
  </w:style>
  <w:style w:type="character" w:customStyle="1" w:styleId="HeaderChar">
    <w:name w:val="Header Char"/>
    <w:basedOn w:val="DefaultParagraphFont"/>
    <w:link w:val="Header"/>
    <w:uiPriority w:val="99"/>
    <w:rsid w:val="00F66E72"/>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6"/>
    <w:rsid w:val="00FC72FA"/>
    <w:rPr>
      <w:rFonts w:asciiTheme="majorHAnsi" w:eastAsiaTheme="majorEastAsia" w:hAnsiTheme="majorHAnsi" w:cstheme="majorBidi"/>
      <w:caps/>
      <w:szCs w:val="26"/>
      <w:u w:val="single"/>
    </w:rPr>
  </w:style>
  <w:style w:type="character" w:customStyle="1" w:styleId="Heading3Char">
    <w:name w:val="Heading 3 Char"/>
    <w:basedOn w:val="DefaultParagraphFont"/>
    <w:link w:val="Heading3"/>
    <w:uiPriority w:val="6"/>
    <w:rsid w:val="00FC72FA"/>
    <w:rPr>
      <w:rFonts w:asciiTheme="majorHAnsi" w:eastAsiaTheme="majorEastAsia" w:hAnsiTheme="majorHAnsi" w:cstheme="majorBidi"/>
      <w:szCs w:val="26"/>
      <w:u w:val="single"/>
    </w:rPr>
  </w:style>
  <w:style w:type="character" w:customStyle="1" w:styleId="Heading4Char">
    <w:name w:val="Heading 4 Char"/>
    <w:basedOn w:val="DefaultParagraphFont"/>
    <w:link w:val="Heading4"/>
    <w:uiPriority w:val="6"/>
    <w:rsid w:val="00FC72FA"/>
    <w:rPr>
      <w:rFonts w:asciiTheme="majorHAnsi" w:eastAsiaTheme="majorEastAsia" w:hAnsiTheme="majorHAnsi" w:cstheme="majorBidi"/>
      <w:iCs/>
      <w:szCs w:val="26"/>
    </w:rPr>
  </w:style>
  <w:style w:type="character" w:customStyle="1" w:styleId="Heading5Char">
    <w:name w:val="Heading 5 Char"/>
    <w:basedOn w:val="DefaultParagraphFont"/>
    <w:link w:val="Heading5"/>
    <w:uiPriority w:val="6"/>
    <w:rsid w:val="00367FCA"/>
    <w:rPr>
      <w:rFonts w:asciiTheme="majorHAnsi" w:eastAsiaTheme="majorEastAsia" w:hAnsiTheme="majorHAnsi" w:cstheme="majorBidi"/>
      <w:bCs/>
      <w:szCs w:val="26"/>
    </w:rPr>
  </w:style>
  <w:style w:type="character" w:customStyle="1" w:styleId="Heading6Char">
    <w:name w:val="Heading 6 Char"/>
    <w:basedOn w:val="DefaultParagraphFont"/>
    <w:link w:val="Heading6"/>
    <w:uiPriority w:val="6"/>
    <w:rsid w:val="00F35290"/>
    <w:rPr>
      <w:rFonts w:asciiTheme="majorHAnsi" w:eastAsiaTheme="majorEastAsia" w:hAnsiTheme="majorHAnsi" w:cstheme="majorBidi"/>
      <w:bCs/>
      <w:iCs/>
      <w:szCs w:val="26"/>
    </w:rPr>
  </w:style>
  <w:style w:type="character" w:customStyle="1" w:styleId="Heading7Char">
    <w:name w:val="Heading 7 Char"/>
    <w:basedOn w:val="DefaultParagraphFont"/>
    <w:link w:val="Heading7"/>
    <w:uiPriority w:val="6"/>
    <w:rsid w:val="00F35290"/>
    <w:rPr>
      <w:rFonts w:asciiTheme="majorHAnsi" w:eastAsiaTheme="majorEastAsia" w:hAnsiTheme="majorHAnsi" w:cstheme="majorBidi"/>
      <w:bCs/>
      <w:szCs w:val="26"/>
    </w:rPr>
  </w:style>
  <w:style w:type="character" w:customStyle="1" w:styleId="Heading8Char">
    <w:name w:val="Heading 8 Char"/>
    <w:basedOn w:val="DefaultParagraphFont"/>
    <w:link w:val="Heading8"/>
    <w:uiPriority w:val="10"/>
    <w:rsid w:val="00367FCA"/>
    <w:rPr>
      <w:rFonts w:asciiTheme="majorHAnsi" w:eastAsiaTheme="majorEastAsia" w:hAnsiTheme="majorHAnsi" w:cstheme="majorBidi"/>
      <w:bCs/>
      <w:szCs w:val="20"/>
    </w:rPr>
  </w:style>
  <w:style w:type="character" w:customStyle="1" w:styleId="Heading9Char">
    <w:name w:val="Heading 9 Char"/>
    <w:basedOn w:val="DefaultParagraphFont"/>
    <w:link w:val="Heading9"/>
    <w:uiPriority w:val="11"/>
    <w:rsid w:val="00367FCA"/>
    <w:rPr>
      <w:rFonts w:asciiTheme="majorHAnsi" w:eastAsiaTheme="majorEastAsia" w:hAnsiTheme="majorHAnsi" w:cstheme="majorBidi"/>
      <w:bCs/>
      <w:iCs/>
      <w:szCs w:val="20"/>
    </w:rPr>
  </w:style>
  <w:style w:type="character" w:styleId="Hyperlink">
    <w:name w:val="Hyperlink"/>
    <w:basedOn w:val="DefaultParagraphFont"/>
    <w:uiPriority w:val="99"/>
    <w:unhideWhenUsed/>
    <w:rsid w:val="00F66E72"/>
    <w:rPr>
      <w:color w:val="0000FF" w:themeColor="hyperlink"/>
      <w:u w:val="single"/>
    </w:rPr>
  </w:style>
  <w:style w:type="character" w:customStyle="1" w:styleId="NoSpacingChar">
    <w:name w:val="No Spacing Char"/>
    <w:basedOn w:val="DefaultParagraphFont"/>
    <w:link w:val="NoSpacing"/>
    <w:uiPriority w:val="99"/>
    <w:rsid w:val="00D02C86"/>
    <w:rPr>
      <w:rFonts w:ascii="Times New Roman" w:hAnsi="Times New Roman"/>
      <w:color w:val="000000" w:themeColor="text1"/>
    </w:rPr>
  </w:style>
  <w:style w:type="character" w:styleId="PlaceholderText">
    <w:name w:val="Placeholder Text"/>
    <w:basedOn w:val="DefaultParagraphFont"/>
    <w:uiPriority w:val="99"/>
    <w:semiHidden/>
    <w:rsid w:val="00FF2EEE"/>
    <w:rPr>
      <w:color w:val="FF0000"/>
    </w:rPr>
  </w:style>
  <w:style w:type="paragraph" w:styleId="Quote">
    <w:name w:val="Quote"/>
    <w:basedOn w:val="Normal"/>
    <w:next w:val="Normal"/>
    <w:link w:val="QuoteChar"/>
    <w:uiPriority w:val="2"/>
    <w:qFormat/>
    <w:rsid w:val="00FC72FA"/>
    <w:pPr>
      <w:spacing w:after="240"/>
      <w:ind w:left="1440" w:right="1440"/>
    </w:pPr>
    <w:rPr>
      <w:iCs/>
    </w:rPr>
  </w:style>
  <w:style w:type="character" w:customStyle="1" w:styleId="QuoteChar">
    <w:name w:val="Quote Char"/>
    <w:basedOn w:val="DefaultParagraphFont"/>
    <w:link w:val="Quote"/>
    <w:uiPriority w:val="2"/>
    <w:rsid w:val="00FC72FA"/>
    <w:rPr>
      <w:iCs/>
    </w:rPr>
  </w:style>
  <w:style w:type="paragraph" w:styleId="TableofAuthorities">
    <w:name w:val="table of authorities"/>
    <w:basedOn w:val="Normal"/>
    <w:autoRedefine/>
    <w:uiPriority w:val="99"/>
    <w:rsid w:val="00F66E72"/>
    <w:pPr>
      <w:keepNext/>
      <w:keepLines/>
      <w:widowControl w:val="0"/>
      <w:tabs>
        <w:tab w:val="right" w:leader="dot" w:pos="10080"/>
      </w:tabs>
      <w:spacing w:after="240"/>
      <w:ind w:left="360" w:right="2880" w:hanging="360"/>
    </w:pPr>
  </w:style>
  <w:style w:type="paragraph" w:styleId="TOAHeading">
    <w:name w:val="toa heading"/>
    <w:basedOn w:val="Normal"/>
    <w:next w:val="Normal"/>
    <w:autoRedefine/>
    <w:uiPriority w:val="99"/>
    <w:semiHidden/>
    <w:rsid w:val="00AB0053"/>
    <w:pPr>
      <w:keepNext/>
      <w:keepLines/>
      <w:widowControl w:val="0"/>
      <w:spacing w:after="240"/>
    </w:pPr>
    <w:rPr>
      <w:rFonts w:ascii="Times New Roman Bold" w:hAnsi="Times New Roman Bold"/>
      <w:b/>
      <w:caps/>
      <w:szCs w:val="20"/>
    </w:rPr>
  </w:style>
  <w:style w:type="paragraph" w:styleId="TOC1">
    <w:name w:val="toc 1"/>
    <w:basedOn w:val="Normal"/>
    <w:next w:val="Normal"/>
    <w:autoRedefine/>
    <w:uiPriority w:val="39"/>
    <w:rsid w:val="00C53321"/>
    <w:pPr>
      <w:keepLines/>
      <w:widowControl w:val="0"/>
      <w:tabs>
        <w:tab w:val="right" w:leader="dot" w:pos="9360"/>
      </w:tabs>
      <w:spacing w:after="240"/>
      <w:ind w:left="720" w:hanging="720"/>
    </w:pPr>
    <w:rPr>
      <w:rFonts w:eastAsiaTheme="minorEastAsia"/>
      <w:caps/>
      <w:noProof/>
      <w:szCs w:val="22"/>
    </w:rPr>
  </w:style>
  <w:style w:type="paragraph" w:styleId="TOC2">
    <w:name w:val="toc 2"/>
    <w:basedOn w:val="TOC1"/>
    <w:next w:val="Normal"/>
    <w:link w:val="TOC2Char"/>
    <w:autoRedefine/>
    <w:uiPriority w:val="39"/>
    <w:rsid w:val="0059390B"/>
    <w:pPr>
      <w:ind w:left="1440"/>
    </w:pPr>
    <w:rPr>
      <w:rFonts w:eastAsiaTheme="majorEastAsia" w:cstheme="majorBidi"/>
      <w:szCs w:val="26"/>
    </w:rPr>
  </w:style>
  <w:style w:type="character" w:customStyle="1" w:styleId="TOC2Char">
    <w:name w:val="TOC 2 Char"/>
    <w:basedOn w:val="Heading2Char"/>
    <w:link w:val="TOC2"/>
    <w:uiPriority w:val="39"/>
    <w:rsid w:val="0059390B"/>
    <w:rPr>
      <w:rFonts w:asciiTheme="majorHAnsi" w:eastAsiaTheme="majorEastAsia" w:hAnsiTheme="majorHAnsi" w:cstheme="majorBidi"/>
      <w:caps/>
      <w:noProof/>
      <w:szCs w:val="26"/>
      <w:u w:val="single"/>
    </w:rPr>
  </w:style>
  <w:style w:type="paragraph" w:styleId="TOC3">
    <w:name w:val="toc 3"/>
    <w:basedOn w:val="TOC2"/>
    <w:next w:val="Normal"/>
    <w:link w:val="TOC3Char"/>
    <w:autoRedefine/>
    <w:uiPriority w:val="39"/>
    <w:rsid w:val="00E26A71"/>
    <w:pPr>
      <w:keepLines w:val="0"/>
      <w:widowControl/>
      <w:ind w:left="2160"/>
    </w:pPr>
    <w:rPr>
      <w:caps w:val="0"/>
    </w:rPr>
  </w:style>
  <w:style w:type="character" w:customStyle="1" w:styleId="TOC3Char">
    <w:name w:val="TOC 3 Char"/>
    <w:basedOn w:val="Heading3Char"/>
    <w:link w:val="TOC3"/>
    <w:uiPriority w:val="39"/>
    <w:rsid w:val="00E26A71"/>
    <w:rPr>
      <w:rFonts w:asciiTheme="majorHAnsi" w:eastAsiaTheme="majorEastAsia" w:hAnsiTheme="majorHAnsi" w:cstheme="majorBidi"/>
      <w:noProof/>
      <w:szCs w:val="26"/>
      <w:u w:val="single"/>
    </w:rPr>
  </w:style>
  <w:style w:type="paragraph" w:styleId="TOC4">
    <w:name w:val="toc 4"/>
    <w:basedOn w:val="TOC3"/>
    <w:next w:val="Normal"/>
    <w:autoRedefine/>
    <w:uiPriority w:val="39"/>
    <w:semiHidden/>
    <w:rsid w:val="00B9030E"/>
    <w:pPr>
      <w:ind w:left="2880"/>
    </w:pPr>
    <w:rPr>
      <w:rFonts w:eastAsiaTheme="minorEastAsia"/>
      <w:bCs/>
      <w:iCs/>
      <w:szCs w:val="22"/>
    </w:rPr>
  </w:style>
  <w:style w:type="paragraph" w:styleId="TOC5">
    <w:name w:val="toc 5"/>
    <w:basedOn w:val="TOC4"/>
    <w:next w:val="Normal"/>
    <w:autoRedefine/>
    <w:uiPriority w:val="39"/>
    <w:semiHidden/>
    <w:rsid w:val="007D29D3"/>
    <w:pPr>
      <w:ind w:left="3600"/>
    </w:pPr>
  </w:style>
  <w:style w:type="paragraph" w:styleId="TOCHeading">
    <w:name w:val="TOC Heading"/>
    <w:basedOn w:val="Normal"/>
    <w:next w:val="Normal"/>
    <w:uiPriority w:val="39"/>
    <w:semiHidden/>
    <w:qFormat/>
    <w:rsid w:val="00FC72FA"/>
    <w:pPr>
      <w:spacing w:after="240"/>
      <w:jc w:val="center"/>
    </w:pPr>
    <w:rPr>
      <w:b/>
      <w:u w:val="single"/>
    </w:rPr>
  </w:style>
  <w:style w:type="numbering" w:customStyle="1" w:styleId="NDOHOutline">
    <w:name w:val="NDOH Outline"/>
    <w:uiPriority w:val="99"/>
    <w:rsid w:val="00F66E72"/>
    <w:pPr>
      <w:numPr>
        <w:numId w:val="2"/>
      </w:numPr>
    </w:pPr>
  </w:style>
  <w:style w:type="paragraph" w:styleId="BodyTextIndent">
    <w:name w:val="Body Text Indent"/>
    <w:basedOn w:val="Normal"/>
    <w:link w:val="BodyTextIndentChar"/>
    <w:uiPriority w:val="99"/>
    <w:semiHidden/>
    <w:qFormat/>
    <w:rsid w:val="00FC72FA"/>
    <w:pPr>
      <w:spacing w:after="120"/>
      <w:ind w:left="360"/>
    </w:pPr>
  </w:style>
  <w:style w:type="character" w:customStyle="1" w:styleId="BodyTextIndentChar">
    <w:name w:val="Body Text Indent Char"/>
    <w:basedOn w:val="DefaultParagraphFont"/>
    <w:link w:val="BodyTextIndent"/>
    <w:uiPriority w:val="99"/>
    <w:semiHidden/>
    <w:rsid w:val="00FC72FA"/>
  </w:style>
  <w:style w:type="paragraph" w:styleId="BodyTextFirstIndent2">
    <w:name w:val="Body Text First Indent 2"/>
    <w:aliases w:val="Indent DS"/>
    <w:basedOn w:val="BodyText"/>
    <w:link w:val="BodyTextFirstIndent2Char"/>
    <w:uiPriority w:val="1"/>
    <w:qFormat/>
    <w:rsid w:val="00FC72FA"/>
    <w:pPr>
      <w:spacing w:line="480" w:lineRule="auto"/>
      <w:ind w:firstLine="720"/>
    </w:pPr>
  </w:style>
  <w:style w:type="character" w:customStyle="1" w:styleId="BodyTextFirstIndent2Char">
    <w:name w:val="Body Text First Indent 2 Char"/>
    <w:aliases w:val="Indent DS Char"/>
    <w:basedOn w:val="BodyTextIndentChar"/>
    <w:link w:val="BodyTextFirstIndent2"/>
    <w:uiPriority w:val="1"/>
    <w:rsid w:val="00FC72FA"/>
  </w:style>
  <w:style w:type="paragraph" w:styleId="BodyTextFirstIndent">
    <w:name w:val="Body Text First Indent"/>
    <w:aliases w:val="Indent SS"/>
    <w:basedOn w:val="BodyText"/>
    <w:link w:val="BodyTextFirstIndentChar"/>
    <w:uiPriority w:val="1"/>
    <w:qFormat/>
    <w:rsid w:val="00FC72FA"/>
    <w:pPr>
      <w:ind w:firstLine="720"/>
    </w:pPr>
  </w:style>
  <w:style w:type="character" w:customStyle="1" w:styleId="BodyTextFirstIndentChar">
    <w:name w:val="Body Text First Indent Char"/>
    <w:aliases w:val="Indent SS Char"/>
    <w:basedOn w:val="DefaultParagraphFont"/>
    <w:link w:val="BodyTextFirstIndent"/>
    <w:uiPriority w:val="1"/>
    <w:rsid w:val="00FC72FA"/>
  </w:style>
  <w:style w:type="paragraph" w:styleId="BodyText3">
    <w:name w:val="Body Text 3"/>
    <w:basedOn w:val="Normal"/>
    <w:link w:val="BodyText3Char"/>
    <w:uiPriority w:val="99"/>
    <w:semiHidden/>
    <w:rsid w:val="00B3738A"/>
    <w:pPr>
      <w:spacing w:after="120"/>
    </w:pPr>
    <w:rPr>
      <w:sz w:val="16"/>
      <w:szCs w:val="16"/>
    </w:rPr>
  </w:style>
  <w:style w:type="character" w:customStyle="1" w:styleId="BodyText3Char">
    <w:name w:val="Body Text 3 Char"/>
    <w:basedOn w:val="DefaultParagraphFont"/>
    <w:link w:val="BodyText3"/>
    <w:uiPriority w:val="99"/>
    <w:semiHidden/>
    <w:rsid w:val="001F37A5"/>
    <w:rPr>
      <w:rFonts w:ascii="Times New Roman" w:hAnsi="Times New Roman"/>
      <w:sz w:val="16"/>
      <w:szCs w:val="16"/>
    </w:rPr>
  </w:style>
  <w:style w:type="paragraph" w:styleId="Subtitle">
    <w:name w:val="Subtitle"/>
    <w:basedOn w:val="Title"/>
    <w:next w:val="Normal"/>
    <w:link w:val="SubtitleChar"/>
    <w:uiPriority w:val="4"/>
    <w:qFormat/>
    <w:rsid w:val="00FC72FA"/>
    <w:rPr>
      <w:sz w:val="24"/>
      <w:u w:val="none"/>
    </w:rPr>
  </w:style>
  <w:style w:type="character" w:customStyle="1" w:styleId="SubtitleChar">
    <w:name w:val="Subtitle Char"/>
    <w:basedOn w:val="DefaultParagraphFont"/>
    <w:link w:val="Subtitle"/>
    <w:uiPriority w:val="4"/>
    <w:rsid w:val="00FC72FA"/>
    <w:rPr>
      <w:b/>
    </w:rPr>
  </w:style>
  <w:style w:type="paragraph" w:styleId="Bibliography">
    <w:name w:val="Bibliography"/>
    <w:basedOn w:val="Normal"/>
    <w:next w:val="Normal"/>
    <w:uiPriority w:val="37"/>
    <w:semiHidden/>
    <w:unhideWhenUsed/>
    <w:rsid w:val="00D02C86"/>
  </w:style>
  <w:style w:type="paragraph" w:styleId="TOC6">
    <w:name w:val="toc 6"/>
    <w:basedOn w:val="TOC5"/>
    <w:next w:val="Normal"/>
    <w:autoRedefine/>
    <w:uiPriority w:val="39"/>
    <w:semiHidden/>
    <w:rsid w:val="001F37A5"/>
    <w:pPr>
      <w:ind w:left="4320"/>
    </w:pPr>
  </w:style>
  <w:style w:type="paragraph" w:styleId="TOC7">
    <w:name w:val="toc 7"/>
    <w:basedOn w:val="Normal"/>
    <w:next w:val="Normal"/>
    <w:autoRedefine/>
    <w:uiPriority w:val="39"/>
    <w:semiHidden/>
    <w:rsid w:val="001F37A5"/>
    <w:pPr>
      <w:spacing w:after="100"/>
      <w:ind w:left="1440"/>
    </w:pPr>
  </w:style>
  <w:style w:type="paragraph" w:styleId="BodyText">
    <w:name w:val="Body Text"/>
    <w:aliases w:val="Flush SS"/>
    <w:basedOn w:val="Normal"/>
    <w:link w:val="BodyTextChar"/>
    <w:uiPriority w:val="2"/>
    <w:qFormat/>
    <w:rsid w:val="00FC72FA"/>
  </w:style>
  <w:style w:type="character" w:customStyle="1" w:styleId="BodyTextChar">
    <w:name w:val="Body Text Char"/>
    <w:aliases w:val="Flush SS Char"/>
    <w:basedOn w:val="DefaultParagraphFont"/>
    <w:link w:val="BodyText"/>
    <w:uiPriority w:val="2"/>
    <w:rsid w:val="00FC72FA"/>
  </w:style>
  <w:style w:type="paragraph" w:styleId="Signature">
    <w:name w:val="Signature"/>
    <w:basedOn w:val="Normal"/>
    <w:link w:val="SignatureChar"/>
    <w:uiPriority w:val="2"/>
    <w:qFormat/>
    <w:rsid w:val="00FC72FA"/>
    <w:pPr>
      <w:ind w:left="5256" w:hanging="216"/>
    </w:pPr>
  </w:style>
  <w:style w:type="character" w:customStyle="1" w:styleId="SignatureChar">
    <w:name w:val="Signature Char"/>
    <w:basedOn w:val="DefaultParagraphFont"/>
    <w:link w:val="Signature"/>
    <w:uiPriority w:val="2"/>
    <w:rsid w:val="00FC72FA"/>
  </w:style>
  <w:style w:type="paragraph" w:customStyle="1" w:styleId="QuoteJustified">
    <w:name w:val="Quote Justified"/>
    <w:basedOn w:val="Quote"/>
    <w:next w:val="Normal"/>
    <w:uiPriority w:val="12"/>
    <w:rsid w:val="00F251E2"/>
    <w:pPr>
      <w:jc w:val="both"/>
    </w:pPr>
    <w:rPr>
      <w:b/>
    </w:rPr>
  </w:style>
  <w:style w:type="numbering" w:customStyle="1" w:styleId="NDOHPleading">
    <w:name w:val="NDOH Pleading"/>
    <w:uiPriority w:val="99"/>
    <w:rsid w:val="00007FEC"/>
    <w:pPr>
      <w:numPr>
        <w:numId w:val="3"/>
      </w:numPr>
    </w:pPr>
  </w:style>
  <w:style w:type="numbering" w:customStyle="1" w:styleId="NDOHPleadingII">
    <w:name w:val="NDOH Pleading II"/>
    <w:uiPriority w:val="99"/>
    <w:rsid w:val="000008E7"/>
    <w:pPr>
      <w:numPr>
        <w:numId w:val="4"/>
      </w:numPr>
    </w:pPr>
  </w:style>
  <w:style w:type="paragraph" w:customStyle="1" w:styleId="ListII">
    <w:name w:val="List II"/>
    <w:basedOn w:val="Normal"/>
    <w:uiPriority w:val="8"/>
    <w:qFormat/>
    <w:rsid w:val="00FC72FA"/>
    <w:pPr>
      <w:numPr>
        <w:numId w:val="7"/>
      </w:numPr>
      <w:spacing w:line="480" w:lineRule="auto"/>
    </w:pPr>
  </w:style>
  <w:style w:type="paragraph" w:styleId="Revision">
    <w:name w:val="Revision"/>
    <w:hidden/>
    <w:uiPriority w:val="99"/>
    <w:semiHidden/>
    <w:rsid w:val="00704AF0"/>
  </w:style>
  <w:style w:type="paragraph" w:styleId="CommentSubject">
    <w:name w:val="annotation subject"/>
    <w:basedOn w:val="CommentText"/>
    <w:next w:val="CommentText"/>
    <w:link w:val="CommentSubjectChar"/>
    <w:uiPriority w:val="99"/>
    <w:semiHidden/>
    <w:unhideWhenUsed/>
    <w:rsid w:val="009A33DD"/>
    <w:rPr>
      <w:b/>
      <w:bCs/>
    </w:rPr>
  </w:style>
  <w:style w:type="character" w:customStyle="1" w:styleId="CommentSubjectChar">
    <w:name w:val="Comment Subject Char"/>
    <w:basedOn w:val="CommentTextChar"/>
    <w:link w:val="CommentSubject"/>
    <w:uiPriority w:val="99"/>
    <w:semiHidden/>
    <w:rsid w:val="009A33DD"/>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9719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49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justice.gov/usao-dc/attack-pan-am-flight-10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imes New Roma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2A098A-68CA-43BF-B120-94E20DE0C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999</Words>
  <Characters>5696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2025-01-03T19:42:00Z</dcterms:created>
  <dcterms:modified xsi:type="dcterms:W3CDTF">2025-01-03T19:42:00Z</dcterms:modified>
</cp:coreProperties>
</file>