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5CA4" w14:textId="77777777" w:rsidR="00E52E00" w:rsidRDefault="00E52E00">
      <w:pPr>
        <w:tabs>
          <w:tab w:val="left" w:pos="702"/>
          <w:tab w:val="left" w:pos="1449"/>
          <w:tab w:val="left" w:pos="2169"/>
          <w:tab w:val="left" w:pos="2862"/>
          <w:tab w:val="left" w:pos="3609"/>
          <w:tab w:val="left" w:pos="4338"/>
          <w:tab w:val="left" w:pos="5040"/>
          <w:tab w:val="left" w:pos="5778"/>
          <w:tab w:val="left" w:pos="6480"/>
          <w:tab w:val="left" w:pos="7227"/>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5"/>
      </w:tblGrid>
      <w:tr w:rsidR="00E52E00" w:rsidRPr="00F77BF0" w14:paraId="4EF4EF95" w14:textId="77777777">
        <w:tc>
          <w:tcPr>
            <w:tcW w:w="5148" w:type="dxa"/>
            <w:vMerge w:val="restart"/>
          </w:tcPr>
          <w:p w14:paraId="6D3DABB5" w14:textId="77777777" w:rsidR="00E52E00" w:rsidRPr="00F77BF0" w:rsidRDefault="003032C5">
            <w:pPr>
              <w:rPr>
                <w:rFonts w:ascii="Times New Roman" w:hAnsi="Times New Roman"/>
                <w:b/>
                <w:bCs/>
              </w:rPr>
            </w:pPr>
            <w:r w:rsidRPr="00F77BF0">
              <w:rPr>
                <w:b/>
                <w:noProof/>
              </w:rPr>
              <w:drawing>
                <wp:inline distT="0" distB="0" distL="0" distR="0" wp14:anchorId="58D4F57A" wp14:editId="7CDA293A">
                  <wp:extent cx="739140" cy="739140"/>
                  <wp:effectExtent l="0" t="0" r="0" b="0"/>
                  <wp:docPr id="1" name="Picture 0" descr="bw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wlogo.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tc>
        <w:tc>
          <w:tcPr>
            <w:tcW w:w="5148" w:type="dxa"/>
          </w:tcPr>
          <w:p w14:paraId="71F13E6E" w14:textId="77777777" w:rsidR="00E52E00" w:rsidRPr="00F77BF0" w:rsidRDefault="003032C5">
            <w:pPr>
              <w:rPr>
                <w:rFonts w:ascii="Times New Roman" w:hAnsi="Times New Roman"/>
                <w:b/>
                <w:bCs/>
              </w:rPr>
            </w:pPr>
            <w:r w:rsidRPr="00F77BF0">
              <w:rPr>
                <w:rFonts w:ascii="Times New Roman" w:hAnsi="Times New Roman"/>
                <w:b/>
                <w:bCs/>
              </w:rPr>
              <w:t>U.S. Department of Justice</w:t>
            </w:r>
          </w:p>
        </w:tc>
      </w:tr>
      <w:tr w:rsidR="00E52E00" w:rsidRPr="00F77BF0" w14:paraId="479DCE06" w14:textId="77777777">
        <w:tc>
          <w:tcPr>
            <w:tcW w:w="5148" w:type="dxa"/>
            <w:vMerge/>
          </w:tcPr>
          <w:p w14:paraId="2597F714" w14:textId="77777777" w:rsidR="00E52E00" w:rsidRPr="00F77BF0" w:rsidRDefault="00E52E00">
            <w:pPr>
              <w:rPr>
                <w:rFonts w:ascii="Times New Roman" w:hAnsi="Times New Roman"/>
                <w:b/>
                <w:bCs/>
              </w:rPr>
            </w:pPr>
          </w:p>
        </w:tc>
        <w:tc>
          <w:tcPr>
            <w:tcW w:w="5148" w:type="dxa"/>
          </w:tcPr>
          <w:p w14:paraId="51EE8CD6" w14:textId="77777777" w:rsidR="00E52E00" w:rsidRPr="00F77BF0" w:rsidRDefault="00E52E00">
            <w:pPr>
              <w:rPr>
                <w:rFonts w:ascii="Times New Roman" w:hAnsi="Times New Roman"/>
                <w:b/>
                <w:bCs/>
              </w:rPr>
            </w:pPr>
          </w:p>
        </w:tc>
      </w:tr>
      <w:tr w:rsidR="00E52E00" w:rsidRPr="00F77BF0" w14:paraId="17A07AF3" w14:textId="77777777">
        <w:tc>
          <w:tcPr>
            <w:tcW w:w="5148" w:type="dxa"/>
            <w:vMerge/>
          </w:tcPr>
          <w:p w14:paraId="0BF5A5AF" w14:textId="77777777" w:rsidR="00E52E00" w:rsidRPr="00F77BF0" w:rsidRDefault="00E52E00">
            <w:pPr>
              <w:rPr>
                <w:rFonts w:ascii="Times New Roman" w:hAnsi="Times New Roman"/>
                <w:b/>
                <w:bCs/>
              </w:rPr>
            </w:pPr>
          </w:p>
        </w:tc>
        <w:tc>
          <w:tcPr>
            <w:tcW w:w="5148" w:type="dxa"/>
          </w:tcPr>
          <w:p w14:paraId="69E1D475" w14:textId="77777777" w:rsidR="00E52E00" w:rsidRPr="00F77BF0" w:rsidRDefault="003032C5">
            <w:pPr>
              <w:rPr>
                <w:rFonts w:ascii="Times New Roman" w:hAnsi="Times New Roman"/>
                <w:b/>
                <w:bCs/>
              </w:rPr>
            </w:pPr>
            <w:r w:rsidRPr="00F77BF0">
              <w:rPr>
                <w:rFonts w:ascii="Times New Roman" w:hAnsi="Times New Roman"/>
                <w:i/>
                <w:iCs/>
                <w:sz w:val="20"/>
                <w:szCs w:val="20"/>
              </w:rPr>
              <w:t>United States Attorney</w:t>
            </w:r>
          </w:p>
        </w:tc>
      </w:tr>
      <w:tr w:rsidR="00E52E00" w:rsidRPr="00F77BF0" w14:paraId="21C62316" w14:textId="77777777">
        <w:tc>
          <w:tcPr>
            <w:tcW w:w="5148" w:type="dxa"/>
            <w:vMerge/>
          </w:tcPr>
          <w:p w14:paraId="02998C14" w14:textId="77777777" w:rsidR="00E52E00" w:rsidRPr="00F77BF0" w:rsidRDefault="00E52E00">
            <w:pPr>
              <w:rPr>
                <w:rFonts w:ascii="Times New Roman" w:hAnsi="Times New Roman"/>
                <w:b/>
                <w:bCs/>
              </w:rPr>
            </w:pPr>
          </w:p>
        </w:tc>
        <w:tc>
          <w:tcPr>
            <w:tcW w:w="5148" w:type="dxa"/>
          </w:tcPr>
          <w:p w14:paraId="579F9FE6" w14:textId="77777777" w:rsidR="00E52E00" w:rsidRPr="00F77BF0" w:rsidRDefault="00E52E00">
            <w:pPr>
              <w:rPr>
                <w:rFonts w:ascii="Times New Roman" w:hAnsi="Times New Roman"/>
                <w:b/>
                <w:bCs/>
              </w:rPr>
            </w:pPr>
          </w:p>
        </w:tc>
      </w:tr>
      <w:tr w:rsidR="00E52E00" w:rsidRPr="00F77BF0" w14:paraId="0F17EDC0" w14:textId="77777777">
        <w:tc>
          <w:tcPr>
            <w:tcW w:w="5148" w:type="dxa"/>
            <w:vMerge/>
          </w:tcPr>
          <w:p w14:paraId="493CB605" w14:textId="77777777" w:rsidR="00E52E00" w:rsidRPr="00F77BF0" w:rsidRDefault="00E52E00">
            <w:pPr>
              <w:rPr>
                <w:rFonts w:ascii="Times New Roman" w:hAnsi="Times New Roman"/>
                <w:b/>
                <w:bCs/>
              </w:rPr>
            </w:pPr>
          </w:p>
        </w:tc>
        <w:tc>
          <w:tcPr>
            <w:tcW w:w="5148" w:type="dxa"/>
          </w:tcPr>
          <w:p w14:paraId="391FAC0B" w14:textId="77777777" w:rsidR="00E52E00" w:rsidRPr="00F77BF0" w:rsidRDefault="003032C5">
            <w:pPr>
              <w:rPr>
                <w:rFonts w:ascii="Times New Roman" w:hAnsi="Times New Roman"/>
                <w:b/>
                <w:bCs/>
              </w:rPr>
            </w:pPr>
            <w:r w:rsidRPr="00F77BF0">
              <w:rPr>
                <w:rFonts w:ascii="Times New Roman" w:hAnsi="Times New Roman"/>
                <w:i/>
                <w:iCs/>
                <w:sz w:val="20"/>
                <w:szCs w:val="20"/>
              </w:rPr>
              <w:t>Eastern District of Pennsylvania</w:t>
            </w:r>
          </w:p>
        </w:tc>
      </w:tr>
    </w:tbl>
    <w:p w14:paraId="2408AABB" w14:textId="77777777" w:rsidR="00E52E00" w:rsidRPr="00F77BF0" w:rsidRDefault="003032C5">
      <w:pPr>
        <w:spacing w:line="19" w:lineRule="exact"/>
      </w:pPr>
      <w:r w:rsidRPr="00F77BF0">
        <w:rPr>
          <w:noProof/>
        </w:rPr>
        <mc:AlternateContent>
          <mc:Choice Requires="wps">
            <w:drawing>
              <wp:anchor distT="0" distB="0" distL="114300" distR="114300" simplePos="0" relativeHeight="251657728" behindDoc="1" locked="1" layoutInCell="0" allowOverlap="1" wp14:anchorId="586C8317" wp14:editId="168AB073">
                <wp:simplePos x="0" y="0"/>
                <wp:positionH relativeFrom="page">
                  <wp:posOffset>678815</wp:posOffset>
                </wp:positionH>
                <wp:positionV relativeFrom="paragraph">
                  <wp:posOffset>0</wp:posOffset>
                </wp:positionV>
                <wp:extent cx="64008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85FEA" id="Rectangle 2" o:spid="_x0000_s1026" style="position:absolute;margin-left:53.45pt;margin-top:0;width:7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" o:allowincell="f" fillcolor="black" stroked="f" strokeweight="0">
                <w10:wrap anchorx="page"/>
                <w10:anchorlock/>
              </v:rect>
            </w:pict>
          </mc:Fallback>
        </mc:AlternateContent>
      </w:r>
    </w:p>
    <w:p w14:paraId="7B8A8273" w14:textId="77777777" w:rsidR="00E52E00" w:rsidRPr="00F77BF0" w:rsidRDefault="003032C5" w:rsidP="000852F9">
      <w:pPr>
        <w:tabs>
          <w:tab w:val="left" w:pos="4770"/>
        </w:tabs>
        <w:rPr>
          <w:i/>
          <w:iCs/>
          <w:sz w:val="16"/>
          <w:szCs w:val="16"/>
        </w:rPr>
      </w:pPr>
      <w:r w:rsidRPr="00F77BF0">
        <w:rPr>
          <w:i/>
          <w:iCs/>
          <w:sz w:val="16"/>
          <w:szCs w:val="16"/>
        </w:rPr>
        <w:tab/>
        <w:t>615 Chestnut Street</w:t>
      </w:r>
    </w:p>
    <w:p w14:paraId="0BBB70AA" w14:textId="77777777" w:rsidR="00E52E00" w:rsidRPr="00F77BF0" w:rsidRDefault="003032C5" w:rsidP="000852F9">
      <w:pPr>
        <w:tabs>
          <w:tab w:val="left" w:pos="4770"/>
        </w:tabs>
        <w:rPr>
          <w:i/>
          <w:iCs/>
          <w:sz w:val="16"/>
          <w:szCs w:val="16"/>
        </w:rPr>
      </w:pPr>
      <w:r w:rsidRPr="00F77BF0">
        <w:rPr>
          <w:i/>
          <w:iCs/>
          <w:sz w:val="16"/>
          <w:szCs w:val="16"/>
        </w:rPr>
        <w:tab/>
        <w:t>Suite 1250</w:t>
      </w:r>
    </w:p>
    <w:p w14:paraId="30DDD90A" w14:textId="77777777" w:rsidR="00E52E00" w:rsidRPr="00F77BF0" w:rsidRDefault="000852F9" w:rsidP="000852F9">
      <w:pPr>
        <w:tabs>
          <w:tab w:val="left" w:pos="4770"/>
        </w:tabs>
        <w:rPr>
          <w:i/>
          <w:iCs/>
          <w:sz w:val="16"/>
          <w:szCs w:val="16"/>
        </w:rPr>
      </w:pPr>
      <w:r w:rsidRPr="00F77BF0">
        <w:rPr>
          <w:i/>
          <w:iCs/>
          <w:sz w:val="16"/>
          <w:szCs w:val="16"/>
        </w:rPr>
        <w:tab/>
      </w:r>
      <w:r w:rsidR="003032C5" w:rsidRPr="00F77BF0">
        <w:rPr>
          <w:i/>
          <w:iCs/>
          <w:sz w:val="16"/>
          <w:szCs w:val="16"/>
        </w:rPr>
        <w:t>Philadelphia, Pennsylvania 19106-4476</w:t>
      </w:r>
    </w:p>
    <w:p w14:paraId="49DC1FB6" w14:textId="77777777" w:rsidR="00E52E00" w:rsidRPr="00F77BF0" w:rsidRDefault="003032C5" w:rsidP="000852F9">
      <w:pPr>
        <w:tabs>
          <w:tab w:val="left" w:pos="4770"/>
        </w:tabs>
        <w:rPr>
          <w:i/>
          <w:iCs/>
          <w:sz w:val="16"/>
          <w:szCs w:val="16"/>
        </w:rPr>
      </w:pPr>
      <w:bookmarkStart w:id="0" w:name="4"/>
      <w:bookmarkEnd w:id="0"/>
      <w:r w:rsidRPr="00F77BF0">
        <w:rPr>
          <w:i/>
          <w:iCs/>
          <w:sz w:val="16"/>
          <w:szCs w:val="16"/>
        </w:rPr>
        <w:tab/>
        <w:t>(215) 861-8200</w:t>
      </w:r>
    </w:p>
    <w:p w14:paraId="1CB9631C" w14:textId="77777777" w:rsidR="00E52E00" w:rsidRPr="00F77BF0" w:rsidRDefault="00E52E00">
      <w:pPr>
        <w:ind w:right="720"/>
        <w:rPr>
          <w:sz w:val="16"/>
          <w:szCs w:val="16"/>
        </w:rPr>
      </w:pPr>
    </w:p>
    <w:p w14:paraId="0F1BE26C" w14:textId="77777777" w:rsidR="005842BA" w:rsidRPr="00F77BF0" w:rsidRDefault="005842BA">
      <w:pPr>
        <w:ind w:right="720"/>
        <w:rPr>
          <w:rStyle w:val="FootnoteReference"/>
        </w:rPr>
      </w:pPr>
    </w:p>
    <w:p w14:paraId="3BC9F405" w14:textId="7045A23E" w:rsidR="00E52E00" w:rsidRPr="00F77BF0" w:rsidRDefault="005E17D7">
      <w:pPr>
        <w:ind w:right="720"/>
      </w:pPr>
      <w:r w:rsidRPr="00F77BF0">
        <w:tab/>
      </w:r>
      <w:r w:rsidRPr="00F77BF0">
        <w:tab/>
      </w:r>
      <w:r w:rsidRPr="00F77BF0">
        <w:tab/>
      </w:r>
      <w:r w:rsidRPr="00F77BF0">
        <w:tab/>
      </w:r>
      <w:r w:rsidRPr="00F77BF0">
        <w:tab/>
      </w:r>
      <w:r w:rsidRPr="00F77BF0">
        <w:tab/>
      </w:r>
      <w:r w:rsidR="00424D1D">
        <w:t xml:space="preserve">       </w:t>
      </w:r>
      <w:r w:rsidR="006268B2">
        <w:t xml:space="preserve">January </w:t>
      </w:r>
      <w:r w:rsidR="004747C9">
        <w:t>10</w:t>
      </w:r>
      <w:r w:rsidR="006268B2">
        <w:t>, 2024</w:t>
      </w:r>
    </w:p>
    <w:p w14:paraId="4DA332CA" w14:textId="77777777" w:rsidR="005E17D7" w:rsidRPr="00F77BF0" w:rsidRDefault="005E17D7">
      <w:pPr>
        <w:ind w:right="720"/>
      </w:pPr>
    </w:p>
    <w:p w14:paraId="68C6A482" w14:textId="2E6335B9" w:rsidR="006268B2" w:rsidRDefault="006268B2" w:rsidP="00F95828">
      <w:pPr>
        <w:jc w:val="center"/>
        <w:rPr>
          <w:b/>
          <w:sz w:val="28"/>
          <w:szCs w:val="28"/>
        </w:rPr>
      </w:pPr>
      <w:r>
        <w:rPr>
          <w:b/>
          <w:sz w:val="28"/>
          <w:szCs w:val="28"/>
        </w:rPr>
        <w:t>Extradited Canadian</w:t>
      </w:r>
      <w:r w:rsidR="00424D1D">
        <w:rPr>
          <w:b/>
          <w:sz w:val="28"/>
          <w:szCs w:val="28"/>
        </w:rPr>
        <w:t xml:space="preserve"> </w:t>
      </w:r>
      <w:r>
        <w:rPr>
          <w:b/>
          <w:sz w:val="28"/>
          <w:szCs w:val="28"/>
        </w:rPr>
        <w:t>Defendant</w:t>
      </w:r>
      <w:r w:rsidR="0095641E">
        <w:rPr>
          <w:b/>
          <w:sz w:val="28"/>
          <w:szCs w:val="28"/>
        </w:rPr>
        <w:t xml:space="preserve"> Pleads Guilty to </w:t>
      </w:r>
      <w:r>
        <w:rPr>
          <w:b/>
          <w:sz w:val="28"/>
          <w:szCs w:val="28"/>
        </w:rPr>
        <w:t xml:space="preserve">Orchestrating </w:t>
      </w:r>
    </w:p>
    <w:p w14:paraId="52B243AB" w14:textId="38C7EC72" w:rsidR="00C07584" w:rsidRDefault="006268B2" w:rsidP="00F95828">
      <w:pPr>
        <w:jc w:val="center"/>
        <w:rPr>
          <w:b/>
          <w:sz w:val="28"/>
          <w:szCs w:val="28"/>
        </w:rPr>
      </w:pPr>
      <w:r>
        <w:rPr>
          <w:b/>
          <w:sz w:val="28"/>
          <w:szCs w:val="28"/>
        </w:rPr>
        <w:t>Massive Telemarketing Scheme Targeting Senior Citizens in United States</w:t>
      </w:r>
    </w:p>
    <w:p w14:paraId="21FB03A3" w14:textId="77777777" w:rsidR="005E17D7" w:rsidRPr="00F77BF0" w:rsidRDefault="005E17D7" w:rsidP="005E17D7">
      <w:pPr>
        <w:ind w:right="720"/>
        <w:jc w:val="center"/>
      </w:pPr>
    </w:p>
    <w:p w14:paraId="5055A991" w14:textId="135FF4A2" w:rsidR="002F1967" w:rsidRDefault="005E17D7" w:rsidP="00F95828">
      <w:r w:rsidRPr="00F77BF0">
        <w:tab/>
        <w:t>PHILADELPHIA –</w:t>
      </w:r>
      <w:r w:rsidR="00B04720">
        <w:t xml:space="preserve"> </w:t>
      </w:r>
      <w:r w:rsidR="00C00C18" w:rsidRPr="00747D66">
        <w:t xml:space="preserve">United States Attorney </w:t>
      </w:r>
      <w:r w:rsidR="0095641E" w:rsidRPr="00747D66">
        <w:t xml:space="preserve">Jacqueline C. Romero </w:t>
      </w:r>
      <w:r w:rsidR="00F95828" w:rsidRPr="00747D66">
        <w:t xml:space="preserve">announced that </w:t>
      </w:r>
      <w:r w:rsidR="0083060A">
        <w:t xml:space="preserve">Ari </w:t>
      </w:r>
      <w:proofErr w:type="spellStart"/>
      <w:r w:rsidR="0083060A">
        <w:t>Tietolman</w:t>
      </w:r>
      <w:proofErr w:type="spellEnd"/>
      <w:r w:rsidR="0095641E" w:rsidRPr="00747D66">
        <w:t xml:space="preserve">, </w:t>
      </w:r>
      <w:r w:rsidR="00424D1D" w:rsidRPr="00747D66">
        <w:t>40</w:t>
      </w:r>
      <w:r w:rsidR="0095641E" w:rsidRPr="00747D66">
        <w:t xml:space="preserve">, </w:t>
      </w:r>
      <w:r w:rsidR="0083060A">
        <w:t xml:space="preserve">of </w:t>
      </w:r>
      <w:r w:rsidR="0083060A" w:rsidRPr="0083060A">
        <w:t>Montréal</w:t>
      </w:r>
      <w:r w:rsidR="0083060A">
        <w:t>, Canada</w:t>
      </w:r>
      <w:r w:rsidR="0095641E" w:rsidRPr="00747D66">
        <w:t xml:space="preserve">, </w:t>
      </w:r>
      <w:r w:rsidR="00AA1D98" w:rsidRPr="00747D66">
        <w:t>enter</w:t>
      </w:r>
      <w:r w:rsidR="00BF27EC" w:rsidRPr="00747D66">
        <w:t>ed</w:t>
      </w:r>
      <w:r w:rsidR="00AA1D98" w:rsidRPr="00747D66">
        <w:t xml:space="preserve"> a plea of guilty </w:t>
      </w:r>
      <w:r w:rsidR="004747C9">
        <w:t>yesterday</w:t>
      </w:r>
      <w:r w:rsidR="00B678E7" w:rsidRPr="00747D66">
        <w:t xml:space="preserve"> </w:t>
      </w:r>
      <w:r w:rsidR="00AA1D98" w:rsidRPr="00747D66">
        <w:t>before</w:t>
      </w:r>
      <w:r w:rsidR="00BF27EC" w:rsidRPr="00747D66">
        <w:t xml:space="preserve"> United States District Judge</w:t>
      </w:r>
      <w:r w:rsidR="00AA1D98" w:rsidRPr="00747D66">
        <w:t xml:space="preserve"> </w:t>
      </w:r>
      <w:r w:rsidR="0083060A">
        <w:t>Gerald A. McHugh</w:t>
      </w:r>
      <w:r w:rsidR="0095641E" w:rsidRPr="00747D66">
        <w:t xml:space="preserve"> </w:t>
      </w:r>
      <w:r w:rsidR="00424D1D" w:rsidRPr="00747D66">
        <w:t xml:space="preserve">to three counts of </w:t>
      </w:r>
      <w:r w:rsidR="0083060A">
        <w:t>wire</w:t>
      </w:r>
      <w:r w:rsidR="00424D1D" w:rsidRPr="00747D66">
        <w:t xml:space="preserve"> fraud</w:t>
      </w:r>
      <w:r w:rsidR="0083060A">
        <w:t xml:space="preserve"> and five </w:t>
      </w:r>
      <w:r w:rsidR="00424D1D" w:rsidRPr="00747D66">
        <w:t>counts of money laundering</w:t>
      </w:r>
      <w:r w:rsidR="00B678E7" w:rsidRPr="00747D66">
        <w:t xml:space="preserve">, all arising from </w:t>
      </w:r>
      <w:proofErr w:type="spellStart"/>
      <w:r w:rsidR="0083060A">
        <w:t>Tietolman’s</w:t>
      </w:r>
      <w:proofErr w:type="spellEnd"/>
      <w:r w:rsidR="00B678E7" w:rsidRPr="00747D66">
        <w:t xml:space="preserve"> </w:t>
      </w:r>
      <w:r w:rsidR="0083060A">
        <w:t>operation</w:t>
      </w:r>
      <w:r w:rsidR="00B678E7" w:rsidRPr="00747D66">
        <w:t xml:space="preserve"> of </w:t>
      </w:r>
      <w:r w:rsidR="0083060A">
        <w:t>a massive scheme</w:t>
      </w:r>
      <w:r w:rsidR="002F1967">
        <w:t xml:space="preserve"> from Canada that targeted</w:t>
      </w:r>
      <w:r w:rsidR="002F1967" w:rsidRPr="002F1967">
        <w:t xml:space="preserve"> American senior citizens with deceptive telemarketing call</w:t>
      </w:r>
      <w:r w:rsidR="002F1967">
        <w:t xml:space="preserve">s for nearly a decade.  </w:t>
      </w:r>
    </w:p>
    <w:p w14:paraId="01A363A3" w14:textId="77777777" w:rsidR="002F1967" w:rsidRDefault="002F1967" w:rsidP="00F95828"/>
    <w:p w14:paraId="3FF1E7EA" w14:textId="3FE58B6D" w:rsidR="002F1967" w:rsidRPr="00747D66" w:rsidRDefault="002F1967" w:rsidP="002F1967">
      <w:r>
        <w:tab/>
      </w:r>
      <w:r>
        <w:t>[</w:t>
      </w:r>
      <w:r w:rsidRPr="00747D66">
        <w:t>U.S. Attorney Romero</w:t>
      </w:r>
      <w:r>
        <w:t xml:space="preserve"> quote] </w:t>
      </w:r>
    </w:p>
    <w:p w14:paraId="3E5AC703" w14:textId="77777777" w:rsidR="002F1967" w:rsidRPr="00747D66" w:rsidRDefault="002F1967" w:rsidP="002F1967"/>
    <w:p w14:paraId="3B91911C" w14:textId="77777777" w:rsidR="002F1967" w:rsidRPr="00747D66" w:rsidRDefault="002F1967" w:rsidP="002F1967">
      <w:r w:rsidRPr="00747D66">
        <w:tab/>
      </w:r>
      <w:r>
        <w:t>[FBI quote]</w:t>
      </w:r>
    </w:p>
    <w:p w14:paraId="5A78C2E6" w14:textId="77777777" w:rsidR="002F1967" w:rsidRPr="00747D66" w:rsidRDefault="002F1967" w:rsidP="002F1967"/>
    <w:p w14:paraId="65D9E8B0" w14:textId="77777777" w:rsidR="002F1967" w:rsidRPr="00747D66" w:rsidRDefault="002F1967" w:rsidP="002F1967">
      <w:r w:rsidRPr="00747D66">
        <w:tab/>
      </w:r>
      <w:r>
        <w:t>[IRS quote]</w:t>
      </w:r>
    </w:p>
    <w:p w14:paraId="7064058F" w14:textId="64229BDA" w:rsidR="006E6DDE" w:rsidRDefault="0083060A" w:rsidP="00F95828">
      <w:r>
        <w:t xml:space="preserve"> </w:t>
      </w:r>
    </w:p>
    <w:p w14:paraId="60C333B6" w14:textId="4506EB07" w:rsidR="006E6DDE" w:rsidRDefault="006E6DDE" w:rsidP="00F95828">
      <w:r>
        <w:tab/>
      </w:r>
      <w:r w:rsidRPr="006E6DDE">
        <w:t xml:space="preserve">From 2005 to 2014, </w:t>
      </w:r>
      <w:proofErr w:type="spellStart"/>
      <w:r w:rsidRPr="006E6DDE">
        <w:t>Tietolman</w:t>
      </w:r>
      <w:proofErr w:type="spellEnd"/>
      <w:r w:rsidRPr="006E6DDE">
        <w:t xml:space="preserve"> directed </w:t>
      </w:r>
      <w:r w:rsidR="002F1967">
        <w:t>the</w:t>
      </w:r>
      <w:r w:rsidRPr="006E6DDE">
        <w:t xml:space="preserve"> fraud scheme from </w:t>
      </w:r>
      <w:r w:rsidR="0057404A" w:rsidRPr="0083060A">
        <w:t>Montréal</w:t>
      </w:r>
      <w:r w:rsidRPr="006E6DDE">
        <w:t xml:space="preserve">, Canada. In this scheme, </w:t>
      </w:r>
      <w:proofErr w:type="spellStart"/>
      <w:r w:rsidRPr="006E6DDE">
        <w:t>Tietolman’s</w:t>
      </w:r>
      <w:proofErr w:type="spellEnd"/>
      <w:r w:rsidRPr="006E6DDE">
        <w:t xml:space="preserve"> network of telemarketers sold worthless or non-existent services and then debited the victims’ bank accounts without their informed consent. Through this scheme, </w:t>
      </w:r>
      <w:proofErr w:type="spellStart"/>
      <w:r w:rsidRPr="006E6DDE">
        <w:t>Tietolman</w:t>
      </w:r>
      <w:proofErr w:type="spellEnd"/>
      <w:r w:rsidRPr="006E6DDE">
        <w:t xml:space="preserve"> and his co-schemers, including </w:t>
      </w:r>
      <w:bookmarkStart w:id="1" w:name="_Hlk155706703"/>
      <w:r w:rsidRPr="006E6DDE">
        <w:t>co-defendants Marc Roy Ferry</w:t>
      </w:r>
      <w:r w:rsidR="004747C9">
        <w:t xml:space="preserve"> and </w:t>
      </w:r>
      <w:r w:rsidR="004747C9" w:rsidRPr="006E6DDE">
        <w:t>Adam Harper</w:t>
      </w:r>
      <w:bookmarkEnd w:id="1"/>
      <w:r w:rsidRPr="006E6DDE">
        <w:t xml:space="preserve">, took millions of dollars from tens of thousands of senior </w:t>
      </w:r>
      <w:r w:rsidR="0057404A">
        <w:t>citizens in the United States</w:t>
      </w:r>
      <w:r w:rsidRPr="006E6DDE">
        <w:t>.</w:t>
      </w:r>
      <w:r>
        <w:t xml:space="preserve"> </w:t>
      </w:r>
    </w:p>
    <w:p w14:paraId="7EB8FB49" w14:textId="198D2A37" w:rsidR="004747C9" w:rsidRDefault="004747C9" w:rsidP="00F95828"/>
    <w:p w14:paraId="57993BD9" w14:textId="70ADE819" w:rsidR="004747C9" w:rsidRDefault="004747C9" w:rsidP="00F95828">
      <w:r>
        <w:tab/>
      </w:r>
      <w:proofErr w:type="spellStart"/>
      <w:r w:rsidRPr="004747C9">
        <w:t>Tietolman</w:t>
      </w:r>
      <w:proofErr w:type="spellEnd"/>
      <w:r w:rsidRPr="004747C9">
        <w:t xml:space="preserve"> created</w:t>
      </w:r>
      <w:r w:rsidR="002F1967">
        <w:t xml:space="preserve"> </w:t>
      </w:r>
      <w:r w:rsidRPr="004747C9">
        <w:t xml:space="preserve">a number of fraudulent companies </w:t>
      </w:r>
      <w:r w:rsidR="002F1967">
        <w:t xml:space="preserve">that </w:t>
      </w:r>
      <w:r w:rsidRPr="004747C9">
        <w:t xml:space="preserve">sold </w:t>
      </w:r>
      <w:r w:rsidR="002F1967">
        <w:t xml:space="preserve">a </w:t>
      </w:r>
      <w:proofErr w:type="gramStart"/>
      <w:r w:rsidRPr="004747C9">
        <w:t>purported fraud protection service</w:t>
      </w:r>
      <w:r w:rsidR="002F1967">
        <w:t>s</w:t>
      </w:r>
      <w:proofErr w:type="gramEnd"/>
      <w:r w:rsidR="002F1967">
        <w:t xml:space="preserve">, </w:t>
      </w:r>
      <w:r w:rsidR="002F1967">
        <w:t>a purported prescription drug discount card, and a purported discounted legal service</w:t>
      </w:r>
      <w:r w:rsidR="002F1967">
        <w:t xml:space="preserve">. </w:t>
      </w:r>
      <w:r w:rsidRPr="004747C9">
        <w:t>The products and services offered by the fraud</w:t>
      </w:r>
      <w:r w:rsidR="002F1967">
        <w:t>ulent</w:t>
      </w:r>
      <w:r w:rsidRPr="004747C9">
        <w:t xml:space="preserve"> companies were worthless or non-existent.</w:t>
      </w:r>
      <w:r w:rsidR="002F1967">
        <w:t xml:space="preserve">  </w:t>
      </w:r>
    </w:p>
    <w:p w14:paraId="5AADF4C7" w14:textId="5E944D22" w:rsidR="002F1967" w:rsidRDefault="002F1967" w:rsidP="00F95828"/>
    <w:p w14:paraId="2CF1C2DF" w14:textId="5D25429B" w:rsidR="002F1967" w:rsidRDefault="002F1967" w:rsidP="002F1967">
      <w:r>
        <w:tab/>
      </w:r>
      <w:proofErr w:type="spellStart"/>
      <w:r>
        <w:t>Tietolman</w:t>
      </w:r>
      <w:proofErr w:type="spellEnd"/>
      <w:r>
        <w:t xml:space="preserve"> obtained names and telephone numbers of elderly Americans. Further, </w:t>
      </w:r>
      <w:proofErr w:type="spellStart"/>
      <w:r>
        <w:t>Tietolman</w:t>
      </w:r>
      <w:proofErr w:type="spellEnd"/>
      <w:r>
        <w:t xml:space="preserve"> and Harper hired and instructed telemarketers to call these elderly Americans to sell the worthless or non-existent products and services offered by the fraud companies. Most of </w:t>
      </w:r>
      <w:proofErr w:type="spellStart"/>
      <w:r>
        <w:t>Tietolman’s</w:t>
      </w:r>
      <w:proofErr w:type="spellEnd"/>
      <w:r>
        <w:t xml:space="preserve"> telemarketers were based in “boiler rooms” in and around Montreal, Canada. In addition, there was at least one “boiler room” in India. </w:t>
      </w:r>
      <w:proofErr w:type="spellStart"/>
      <w:r>
        <w:t>Tietolman</w:t>
      </w:r>
      <w:proofErr w:type="spellEnd"/>
      <w:r>
        <w:t xml:space="preserve"> and Harper called these rooms “fulfillment rooms.”  </w:t>
      </w:r>
    </w:p>
    <w:p w14:paraId="79792BD1" w14:textId="77777777" w:rsidR="002F1967" w:rsidRDefault="002F1967" w:rsidP="002F1967"/>
    <w:p w14:paraId="7A5FFF31" w14:textId="2D66C55E" w:rsidR="002F1967" w:rsidRDefault="002F1967" w:rsidP="002F1967">
      <w:pPr>
        <w:ind w:firstLine="720"/>
      </w:pPr>
      <w:r>
        <w:t xml:space="preserve">During their calls, </w:t>
      </w:r>
      <w:proofErr w:type="spellStart"/>
      <w:r>
        <w:t>Tietolman’s</w:t>
      </w:r>
      <w:proofErr w:type="spellEnd"/>
      <w:r>
        <w:t xml:space="preserve"> telemarketers made various misrepresentations, such as stating that they were calling on behalf of, or were affiliated with, the victim’s bank, the victim’s insurance company, or the United States government. In addition, </w:t>
      </w:r>
      <w:proofErr w:type="spellStart"/>
      <w:r>
        <w:t>Tietolman’s</w:t>
      </w:r>
      <w:proofErr w:type="spellEnd"/>
      <w:r>
        <w:t xml:space="preserve"> telemarketers often misled the consumers about the need for these products and services.</w:t>
      </w:r>
    </w:p>
    <w:p w14:paraId="5AAE6E08" w14:textId="70BFFC4C" w:rsidR="002F1967" w:rsidRDefault="002F1967" w:rsidP="002F1967">
      <w:pPr>
        <w:ind w:firstLine="720"/>
      </w:pPr>
    </w:p>
    <w:p w14:paraId="0E03DDE6" w14:textId="093E8C78" w:rsidR="002F1967" w:rsidRDefault="002F1967" w:rsidP="002F1967">
      <w:pPr>
        <w:ind w:firstLine="720"/>
      </w:pPr>
      <w:r>
        <w:t xml:space="preserve">In addition to misrepresenting the value of the products being marketed, </w:t>
      </w:r>
      <w:proofErr w:type="spellStart"/>
      <w:r>
        <w:t>Tietolman’s</w:t>
      </w:r>
      <w:proofErr w:type="spellEnd"/>
      <w:r>
        <w:t xml:space="preserve"> telemarketers also misrepresented the cost of these products, sometimes telling consumers the products were free, or less expensive than the amount that was ultimately debited from the consumers’ bank accounts. In other instances, the telemarketers assured consumers they would not debit the consumers’ bank accounts and then did just that after the consumer provided their bank account information.  </w:t>
      </w:r>
    </w:p>
    <w:p w14:paraId="3F9F9A03" w14:textId="77777777" w:rsidR="002F1967" w:rsidRDefault="002F1967" w:rsidP="002F1967">
      <w:pPr>
        <w:ind w:firstLine="720"/>
      </w:pPr>
    </w:p>
    <w:p w14:paraId="45648783" w14:textId="01391435" w:rsidR="002F1967" w:rsidRDefault="002F1967" w:rsidP="002F1967">
      <w:pPr>
        <w:ind w:firstLine="720"/>
      </w:pPr>
      <w:proofErr w:type="spellStart"/>
      <w:r>
        <w:t>Tietolman</w:t>
      </w:r>
      <w:proofErr w:type="spellEnd"/>
      <w:r>
        <w:t xml:space="preserve"> attempted to conceal his own involvement in the scheme by employing Ferry and others to run “front” companies, including First Consumers, and process the fraud proceeds. </w:t>
      </w:r>
      <w:proofErr w:type="spellStart"/>
      <w:r>
        <w:t>Tietolman</w:t>
      </w:r>
      <w:proofErr w:type="spellEnd"/>
      <w:r>
        <w:t xml:space="preserve"> paid Ferry and others to form these “front” companies in the United States. The sole purpose of these “front” companies was to process the fraud proceeds generated by the telemarketing scheme. </w:t>
      </w:r>
      <w:proofErr w:type="spellStart"/>
      <w:r>
        <w:t>Tietolman</w:t>
      </w:r>
      <w:proofErr w:type="spellEnd"/>
      <w:r>
        <w:t xml:space="preserve"> instructed Ferry and others to open up numerous bank accounts in the United States in the names of the fraud companies that they had incorporated. Ferry sent </w:t>
      </w:r>
      <w:proofErr w:type="spellStart"/>
      <w:r>
        <w:t>Tietolman</w:t>
      </w:r>
      <w:proofErr w:type="spellEnd"/>
      <w:r>
        <w:t xml:space="preserve"> and Harper online logins and passwords so </w:t>
      </w:r>
      <w:proofErr w:type="spellStart"/>
      <w:r>
        <w:t>Tietolman</w:t>
      </w:r>
      <w:proofErr w:type="spellEnd"/>
      <w:r>
        <w:t xml:space="preserve">, Harper, and others could control these United States bank accounts from Canada. </w:t>
      </w:r>
    </w:p>
    <w:p w14:paraId="05C8F3D3" w14:textId="77777777" w:rsidR="002F1967" w:rsidRDefault="002F1967" w:rsidP="002F1967">
      <w:pPr>
        <w:ind w:firstLine="720"/>
      </w:pPr>
    </w:p>
    <w:p w14:paraId="3CAF86F4" w14:textId="17A1D5A6" w:rsidR="002F1967" w:rsidRDefault="002F1967" w:rsidP="002F1967">
      <w:pPr>
        <w:ind w:firstLine="720"/>
      </w:pPr>
      <w:proofErr w:type="spellStart"/>
      <w:r>
        <w:t>Tietolman</w:t>
      </w:r>
      <w:proofErr w:type="spellEnd"/>
      <w:r>
        <w:t xml:space="preserve"> sent, or had others send, bank account information for the victims in the United States to Ferry. Using computer programs and printers provided by </w:t>
      </w:r>
      <w:proofErr w:type="spellStart"/>
      <w:r>
        <w:t>Tietolman</w:t>
      </w:r>
      <w:proofErr w:type="spellEnd"/>
      <w:r>
        <w:t xml:space="preserve">, Ferry and others used the victims’ bank account information to print remotely created checks (“RCCs”), in the United States. The RCCs were all made payable to the fraud companies and did not require a signature by the account holder. Because these RCCs did not require the account holder’s consent each time a check was created and submitted to the bank for payment, the account holder-victim had no opportunity to object or prevent the debit from occurring. </w:t>
      </w:r>
    </w:p>
    <w:p w14:paraId="368E03EB" w14:textId="77777777" w:rsidR="002F1967" w:rsidRDefault="002F1967" w:rsidP="002F1967">
      <w:pPr>
        <w:ind w:firstLine="720"/>
      </w:pPr>
    </w:p>
    <w:p w14:paraId="34D91ABA" w14:textId="19E0DFB8" w:rsidR="002F1967" w:rsidRDefault="002F1967" w:rsidP="002F1967">
      <w:pPr>
        <w:ind w:firstLine="720"/>
      </w:pPr>
      <w:r>
        <w:t xml:space="preserve">Per </w:t>
      </w:r>
      <w:proofErr w:type="spellStart"/>
      <w:r>
        <w:t>Tietolman’s</w:t>
      </w:r>
      <w:proofErr w:type="spellEnd"/>
      <w:r>
        <w:t xml:space="preserve"> instructions, Ferry and others deposited the RCCs in bank accounts held by the fraud companies. </w:t>
      </w:r>
      <w:proofErr w:type="spellStart"/>
      <w:r>
        <w:t>Tietolman</w:t>
      </w:r>
      <w:proofErr w:type="spellEnd"/>
      <w:r>
        <w:t xml:space="preserve"> instructed Ferry and others to deposit the RCCs in batches of less than $10,000 to avoid bank reporting requirements in the United States. After the checks were deposited, </w:t>
      </w:r>
      <w:proofErr w:type="spellStart"/>
      <w:r>
        <w:t>Tietolman</w:t>
      </w:r>
      <w:proofErr w:type="spellEnd"/>
      <w:r>
        <w:t xml:space="preserve"> and Harper regularly instructed Ferry and others to wire the majority of the funds to accounts in Canada in the names of </w:t>
      </w:r>
      <w:proofErr w:type="spellStart"/>
      <w:r>
        <w:t>Madicom</w:t>
      </w:r>
      <w:proofErr w:type="spellEnd"/>
      <w:r>
        <w:t>, Landshark, and other fraud companies.</w:t>
      </w:r>
    </w:p>
    <w:p w14:paraId="62F346FF" w14:textId="77777777" w:rsidR="002F1967" w:rsidRDefault="002F1967" w:rsidP="002F1967">
      <w:pPr>
        <w:ind w:firstLine="720"/>
      </w:pPr>
    </w:p>
    <w:p w14:paraId="07E3347B" w14:textId="29F78479" w:rsidR="002F1967" w:rsidRDefault="002F1967" w:rsidP="002F1967">
      <w:pPr>
        <w:ind w:firstLine="720"/>
      </w:pPr>
      <w:proofErr w:type="spellStart"/>
      <w:r>
        <w:t>Tietolman</w:t>
      </w:r>
      <w:proofErr w:type="spellEnd"/>
      <w:r>
        <w:t xml:space="preserve">, Harper, and Ferry knew that many victims would notice unauthorized debits from their account and complain to the fraud companies or the victims’ banks. In some cases, </w:t>
      </w:r>
      <w:proofErr w:type="spellStart"/>
      <w:r>
        <w:t>Tietolman’s</w:t>
      </w:r>
      <w:proofErr w:type="spellEnd"/>
      <w:r>
        <w:t xml:space="preserve"> employees would process refunds for the victims. In other cases, the victim’s bank would reverse the debit and return the RCC to Ferry and others and designate the returned check as “unauthorized.” Indeed, from 2011 on, there were more than $8 million in returned RCCs (also called “charge backs”). </w:t>
      </w:r>
    </w:p>
    <w:p w14:paraId="6AA36830" w14:textId="77777777" w:rsidR="002F1967" w:rsidRDefault="002F1967" w:rsidP="002F1967">
      <w:pPr>
        <w:ind w:firstLine="720"/>
      </w:pPr>
    </w:p>
    <w:p w14:paraId="3260FD2B" w14:textId="3A240530" w:rsidR="002F1967" w:rsidRDefault="002F1967" w:rsidP="002F1967">
      <w:pPr>
        <w:ind w:firstLine="720"/>
      </w:pPr>
      <w:r>
        <w:t xml:space="preserve">Whenever returned checks began accruing, bank security officers called Ferry to ask questions about the business. Ferry would inform </w:t>
      </w:r>
      <w:proofErr w:type="spellStart"/>
      <w:r>
        <w:t>Tietolman</w:t>
      </w:r>
      <w:proofErr w:type="spellEnd"/>
      <w:r>
        <w:t xml:space="preserve">, who would then take responsibility for communicating with the banks regarding check return rates. </w:t>
      </w:r>
      <w:proofErr w:type="spellStart"/>
      <w:r>
        <w:t>Tietolman</w:t>
      </w:r>
      <w:proofErr w:type="spellEnd"/>
      <w:r>
        <w:t xml:space="preserve"> would ask banks for additional time to make deposits to cover the returns. If a bank granted more time, </w:t>
      </w:r>
      <w:proofErr w:type="spellStart"/>
      <w:r>
        <w:t>Tietolman</w:t>
      </w:r>
      <w:proofErr w:type="spellEnd"/>
      <w:r>
        <w:t xml:space="preserve"> told Ferry to “hammer” that account with all available deposits to try to get more money processed through the account before it was closed. Many of these accounts were closed quickly because of the high return rates.  </w:t>
      </w:r>
    </w:p>
    <w:p w14:paraId="12E7CA12" w14:textId="77777777" w:rsidR="002F1967" w:rsidRDefault="002F1967" w:rsidP="002F1967">
      <w:pPr>
        <w:ind w:firstLine="720"/>
      </w:pPr>
    </w:p>
    <w:p w14:paraId="103EF62F" w14:textId="4DDD3416" w:rsidR="002F1967" w:rsidRDefault="002F1967" w:rsidP="002F1967">
      <w:pPr>
        <w:ind w:firstLine="720"/>
      </w:pPr>
      <w:proofErr w:type="spellStart"/>
      <w:r>
        <w:t>Tietolman</w:t>
      </w:r>
      <w:proofErr w:type="spellEnd"/>
      <w:r>
        <w:t xml:space="preserve"> knew that many banks would close accounts of such businesses because of concerns they were engaged in fraudulent or criminal activity. To ensure that his telemarketing </w:t>
      </w:r>
      <w:r>
        <w:lastRenderedPageBreak/>
        <w:t xml:space="preserve">scheme had banks in which to deposit the RCCs, </w:t>
      </w:r>
      <w:proofErr w:type="spellStart"/>
      <w:r>
        <w:t>Tietolman</w:t>
      </w:r>
      <w:proofErr w:type="spellEnd"/>
      <w:r>
        <w:t xml:space="preserve"> instructed Ferry and others to simultaneously open accounts at several banks in the United States for the fraud companies. Accordingly, the fraud companies still had accounts to deposit the fraud proceeds even if one or more banks froze and/or closed their accounts. Per </w:t>
      </w:r>
      <w:proofErr w:type="spellStart"/>
      <w:r>
        <w:t>Tietolman’s</w:t>
      </w:r>
      <w:proofErr w:type="spellEnd"/>
      <w:r>
        <w:t xml:space="preserve"> instructions, Ferry recruited others to open bank accounts in in California, Georgia, and North Carolina to deposit victims’ checks.</w:t>
      </w:r>
    </w:p>
    <w:p w14:paraId="273F7BEB" w14:textId="4981A3F7" w:rsidR="00D629BD" w:rsidRDefault="00D629BD" w:rsidP="00F95828"/>
    <w:p w14:paraId="0D7C110D" w14:textId="1FF8E6BE" w:rsidR="00D629BD" w:rsidRDefault="00D629BD" w:rsidP="00F95828">
      <w:r>
        <w:tab/>
      </w:r>
      <w:proofErr w:type="spellStart"/>
      <w:r>
        <w:t>Tietolman</w:t>
      </w:r>
      <w:proofErr w:type="spellEnd"/>
      <w:r>
        <w:t xml:space="preserve"> faces a maximum possible sentence of </w:t>
      </w:r>
      <w:r w:rsidR="0090104E" w:rsidRPr="0090104E">
        <w:t>170 years’ imprisonment, a three-year period of supervised release, $2.75 million fine or double the value of the funds involved in the transportation, transmission or transfer (whichever is greater), and a $700 special assessment. Full restitution of as much as $9 million also shall be ordered. Forfeiture of all proceeds from the offense also may be ordered.</w:t>
      </w:r>
    </w:p>
    <w:p w14:paraId="736EF52D" w14:textId="02C0C579" w:rsidR="00D629BD" w:rsidRDefault="00D629BD" w:rsidP="00F95828"/>
    <w:p w14:paraId="38646BD4" w14:textId="76A025E6" w:rsidR="00D629BD" w:rsidRDefault="00D629BD" w:rsidP="00F95828">
      <w:r>
        <w:tab/>
      </w:r>
      <w:proofErr w:type="spellStart"/>
      <w:r>
        <w:t>Tietolman</w:t>
      </w:r>
      <w:proofErr w:type="spellEnd"/>
      <w:r>
        <w:t xml:space="preserve"> was extradited from Canada to the United States in 2023. He remains in federal custody in the United States.</w:t>
      </w:r>
      <w:r w:rsidR="004747C9">
        <w:t xml:space="preserve"> His sentencing date is scheduled for April 18, 2024.</w:t>
      </w:r>
    </w:p>
    <w:p w14:paraId="45579542" w14:textId="4C05D7B2" w:rsidR="004747C9" w:rsidRDefault="004747C9" w:rsidP="00F95828"/>
    <w:p w14:paraId="6825A100" w14:textId="6D3D5FFE" w:rsidR="0042428A" w:rsidRPr="002F1967" w:rsidRDefault="004747C9" w:rsidP="002F1967">
      <w:pPr>
        <w:ind w:firstLine="720"/>
      </w:pPr>
      <w:r>
        <w:t>C</w:t>
      </w:r>
      <w:r w:rsidRPr="004747C9">
        <w:t>o-defendants Marc Roy Ferry and Adam Harper</w:t>
      </w:r>
      <w:r>
        <w:t xml:space="preserve"> previously entered their guilty pleas in the case and are also awaiting sentencing. Both Ferry and Harper have been released on bail conditions.</w:t>
      </w:r>
    </w:p>
    <w:p w14:paraId="50E54CB5" w14:textId="77777777" w:rsidR="0042428A" w:rsidRPr="00747D66" w:rsidRDefault="0042428A" w:rsidP="00AE0786">
      <w:pPr>
        <w:rPr>
          <w:rFonts w:eastAsia="Times New Roman"/>
        </w:rPr>
      </w:pPr>
    </w:p>
    <w:p w14:paraId="2C557A0D" w14:textId="31E04F11" w:rsidR="0083060A" w:rsidRDefault="00F95828" w:rsidP="00F95828">
      <w:r w:rsidRPr="00747D66">
        <w:tab/>
        <w:t xml:space="preserve">The case was investigated by </w:t>
      </w:r>
      <w:r w:rsidR="00897254" w:rsidRPr="00747D66">
        <w:t xml:space="preserve">the </w:t>
      </w:r>
      <w:r w:rsidR="00B678E7" w:rsidRPr="00747D66">
        <w:t>Federal Bureau of Investigation</w:t>
      </w:r>
      <w:r w:rsidR="00086A0F" w:rsidRPr="00747D66">
        <w:t xml:space="preserve"> and the </w:t>
      </w:r>
      <w:r w:rsidR="00B678E7" w:rsidRPr="00747D66">
        <w:t>Internal Revenue Service – Criminal Investigation</w:t>
      </w:r>
      <w:r w:rsidRPr="00747D66">
        <w:t xml:space="preserve"> and is being prosecuted by Assistant United States Attorney</w:t>
      </w:r>
      <w:r w:rsidR="00086A0F" w:rsidRPr="00747D66">
        <w:t xml:space="preserve">s </w:t>
      </w:r>
      <w:r w:rsidR="0083060A">
        <w:t xml:space="preserve">Eric D. Gill and </w:t>
      </w:r>
      <w:r w:rsidR="00086A0F" w:rsidRPr="00747D66">
        <w:t>Vineet Gauri</w:t>
      </w:r>
      <w:r w:rsidR="00E32410" w:rsidRPr="00747D66">
        <w:t>.</w:t>
      </w:r>
      <w:r w:rsidR="002F1967">
        <w:t xml:space="preserve"> The Royal Canadian Mounted Police and the Department of Justice’s Office of International Affairs also provided invaluable assistance in the investigation and prosecution.</w:t>
      </w:r>
    </w:p>
    <w:p w14:paraId="6F46F65A" w14:textId="7ED0D3AC" w:rsidR="00185309" w:rsidRPr="00747D66" w:rsidRDefault="00E32410" w:rsidP="00F95828">
      <w:r w:rsidRPr="00747D66">
        <w:t xml:space="preserve"> </w:t>
      </w:r>
      <w:r w:rsidR="00F95828" w:rsidRPr="00747D66">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9000"/>
      </w:tblGrid>
      <w:tr w:rsidR="00185309" w:rsidRPr="00F77BF0" w14:paraId="73E93468" w14:textId="77777777" w:rsidTr="0090086B">
        <w:tc>
          <w:tcPr>
            <w:tcW w:w="9000" w:type="dxa"/>
            <w:tcBorders>
              <w:top w:val="single" w:sz="6" w:space="0" w:color="FFFFFF"/>
              <w:left w:val="single" w:sz="6" w:space="0" w:color="FFFFFF"/>
              <w:bottom w:val="single" w:sz="6" w:space="0" w:color="FFFFFF"/>
              <w:right w:val="single" w:sz="6" w:space="0" w:color="FFFFFF"/>
            </w:tcBorders>
          </w:tcPr>
          <w:tbl>
            <w:tblPr>
              <w:tblW w:w="0" w:type="auto"/>
              <w:tblInd w:w="120" w:type="dxa"/>
              <w:tblLayout w:type="fixed"/>
              <w:tblCellMar>
                <w:left w:w="120" w:type="dxa"/>
                <w:right w:w="120" w:type="dxa"/>
              </w:tblCellMar>
              <w:tblLook w:val="0000" w:firstRow="0" w:lastRow="0" w:firstColumn="0" w:lastColumn="0" w:noHBand="0" w:noVBand="0"/>
            </w:tblPr>
            <w:tblGrid>
              <w:gridCol w:w="9000"/>
            </w:tblGrid>
            <w:tr w:rsidR="00185309" w:rsidRPr="00F77BF0" w14:paraId="40652426" w14:textId="77777777" w:rsidTr="0090086B">
              <w:tc>
                <w:tcPr>
                  <w:tcW w:w="9000" w:type="dxa"/>
                  <w:tcBorders>
                    <w:top w:val="single" w:sz="6" w:space="0" w:color="FFFFFF"/>
                    <w:left w:val="single" w:sz="6" w:space="0" w:color="FFFFFF"/>
                    <w:bottom w:val="single" w:sz="6" w:space="0" w:color="FFFFFF"/>
                    <w:right w:val="single" w:sz="6" w:space="0" w:color="FFFFFF"/>
                  </w:tcBorders>
                </w:tcPr>
                <w:tbl>
                  <w:tblPr>
                    <w:tblStyle w:val="TableGrid"/>
                    <w:tblW w:w="12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7"/>
                    <w:gridCol w:w="1080"/>
                    <w:gridCol w:w="7096"/>
                  </w:tblGrid>
                  <w:tr w:rsidR="00185309" w:rsidRPr="00F77BF0" w14:paraId="30436060" w14:textId="77777777" w:rsidTr="0090086B">
                    <w:tc>
                      <w:tcPr>
                        <w:tcW w:w="4657" w:type="dxa"/>
                        <w:tcBorders>
                          <w:top w:val="nil"/>
                          <w:left w:val="nil"/>
                          <w:bottom w:val="nil"/>
                          <w:right w:val="nil"/>
                        </w:tcBorders>
                      </w:tcPr>
                      <w:p w14:paraId="2D6088C1" w14:textId="0E880066" w:rsidR="00185309" w:rsidRPr="00F77BF0" w:rsidRDefault="009D1E0D" w:rsidP="0090086B">
                        <w:pPr>
                          <w:widowControl/>
                          <w:tabs>
                            <w:tab w:val="left" w:pos="-1440"/>
                          </w:tabs>
                          <w:rPr>
                            <w:rFonts w:ascii="Times New Roman" w:hAnsi="Times New Roman"/>
                            <w:b/>
                            <w:bCs/>
                            <w:sz w:val="22"/>
                            <w:szCs w:val="22"/>
                          </w:rPr>
                        </w:pPr>
                        <w:r>
                          <w:br w:type="page"/>
                        </w:r>
                        <w:r w:rsidR="00185309" w:rsidRPr="00F77BF0">
                          <w:rPr>
                            <w:rFonts w:ascii="Times New Roman" w:hAnsi="Times New Roman"/>
                            <w:b/>
                            <w:bCs/>
                            <w:sz w:val="22"/>
                            <w:szCs w:val="22"/>
                          </w:rPr>
                          <w:t>UNITED STATES ATTORNEY’S OFFICE</w:t>
                        </w:r>
                      </w:p>
                    </w:tc>
                    <w:tc>
                      <w:tcPr>
                        <w:tcW w:w="1080" w:type="dxa"/>
                        <w:tcBorders>
                          <w:top w:val="nil"/>
                          <w:left w:val="nil"/>
                          <w:bottom w:val="nil"/>
                          <w:right w:val="nil"/>
                        </w:tcBorders>
                      </w:tcPr>
                      <w:p w14:paraId="6B6B14B3" w14:textId="77777777" w:rsidR="00185309" w:rsidRPr="00F77BF0" w:rsidRDefault="00185309" w:rsidP="0090086B">
                        <w:pPr>
                          <w:widowControl/>
                          <w:tabs>
                            <w:tab w:val="left" w:pos="-1440"/>
                          </w:tabs>
                          <w:rPr>
                            <w:rFonts w:ascii="Times New Roman" w:hAnsi="Times New Roman"/>
                            <w:b/>
                            <w:bCs/>
                            <w:sz w:val="22"/>
                            <w:szCs w:val="22"/>
                          </w:rPr>
                        </w:pPr>
                        <w:r w:rsidRPr="00F77BF0">
                          <w:rPr>
                            <w:rFonts w:ascii="Times New Roman" w:hAnsi="Times New Roman"/>
                            <w:b/>
                            <w:bCs/>
                            <w:sz w:val="22"/>
                            <w:szCs w:val="22"/>
                          </w:rPr>
                          <w:t>Contact:</w:t>
                        </w:r>
                      </w:p>
                    </w:tc>
                    <w:tc>
                      <w:tcPr>
                        <w:tcW w:w="7096" w:type="dxa"/>
                        <w:tcBorders>
                          <w:top w:val="nil"/>
                          <w:left w:val="nil"/>
                          <w:bottom w:val="nil"/>
                          <w:right w:val="nil"/>
                        </w:tcBorders>
                      </w:tcPr>
                      <w:p w14:paraId="060606E6" w14:textId="3F633E4B" w:rsidR="00185309" w:rsidRPr="00F77BF0" w:rsidRDefault="00640465" w:rsidP="0090086B">
                        <w:pPr>
                          <w:widowControl/>
                          <w:tabs>
                            <w:tab w:val="left" w:pos="-1440"/>
                          </w:tabs>
                          <w:rPr>
                            <w:rFonts w:ascii="Times New Roman" w:hAnsi="Times New Roman"/>
                            <w:b/>
                            <w:bCs/>
                            <w:sz w:val="22"/>
                            <w:szCs w:val="22"/>
                          </w:rPr>
                        </w:pPr>
                        <w:r>
                          <w:rPr>
                            <w:rFonts w:ascii="Times New Roman" w:hAnsi="Times New Roman"/>
                            <w:b/>
                            <w:bCs/>
                            <w:sz w:val="22"/>
                            <w:szCs w:val="22"/>
                          </w:rPr>
                          <w:t>MICHELLE MUCELLIN</w:t>
                        </w:r>
                      </w:p>
                    </w:tc>
                  </w:tr>
                  <w:tr w:rsidR="00185309" w:rsidRPr="00F77BF0" w14:paraId="0EB4A865" w14:textId="77777777" w:rsidTr="0090086B">
                    <w:tc>
                      <w:tcPr>
                        <w:tcW w:w="4657" w:type="dxa"/>
                        <w:tcBorders>
                          <w:top w:val="nil"/>
                          <w:left w:val="nil"/>
                          <w:bottom w:val="nil"/>
                          <w:right w:val="nil"/>
                        </w:tcBorders>
                      </w:tcPr>
                      <w:p w14:paraId="23D50CE8" w14:textId="77777777" w:rsidR="00185309" w:rsidRPr="00F77BF0" w:rsidRDefault="00185309" w:rsidP="0090086B">
                        <w:pPr>
                          <w:widowControl/>
                          <w:tabs>
                            <w:tab w:val="left" w:pos="-1440"/>
                          </w:tabs>
                          <w:rPr>
                            <w:rFonts w:ascii="Times New Roman" w:hAnsi="Times New Roman"/>
                            <w:b/>
                            <w:bCs/>
                            <w:sz w:val="22"/>
                            <w:szCs w:val="22"/>
                          </w:rPr>
                        </w:pPr>
                        <w:r w:rsidRPr="00F77BF0">
                          <w:rPr>
                            <w:rFonts w:ascii="Times New Roman" w:hAnsi="Times New Roman"/>
                            <w:b/>
                            <w:bCs/>
                            <w:sz w:val="22"/>
                            <w:szCs w:val="22"/>
                          </w:rPr>
                          <w:t xml:space="preserve">EASTERN DISTRICT </w:t>
                        </w:r>
                        <w:r w:rsidR="004D0EF6" w:rsidRPr="00F77BF0">
                          <w:rPr>
                            <w:rFonts w:ascii="Times New Roman" w:hAnsi="Times New Roman"/>
                            <w:b/>
                            <w:bCs/>
                            <w:sz w:val="22"/>
                            <w:szCs w:val="22"/>
                          </w:rPr>
                          <w:t xml:space="preserve">OF </w:t>
                        </w:r>
                        <w:r w:rsidRPr="00F77BF0">
                          <w:rPr>
                            <w:rFonts w:ascii="Times New Roman" w:hAnsi="Times New Roman"/>
                            <w:b/>
                            <w:bCs/>
                            <w:sz w:val="22"/>
                            <w:szCs w:val="22"/>
                          </w:rPr>
                          <w:t>PENNSYLVANIA</w:t>
                        </w:r>
                      </w:p>
                    </w:tc>
                    <w:tc>
                      <w:tcPr>
                        <w:tcW w:w="1080" w:type="dxa"/>
                        <w:tcBorders>
                          <w:top w:val="nil"/>
                          <w:left w:val="nil"/>
                          <w:bottom w:val="nil"/>
                          <w:right w:val="nil"/>
                        </w:tcBorders>
                      </w:tcPr>
                      <w:p w14:paraId="3F5CE571" w14:textId="77777777" w:rsidR="00185309" w:rsidRPr="00F77BF0" w:rsidRDefault="00185309" w:rsidP="0090086B">
                        <w:pPr>
                          <w:widowControl/>
                          <w:tabs>
                            <w:tab w:val="left" w:pos="-1440"/>
                          </w:tabs>
                          <w:rPr>
                            <w:rFonts w:ascii="Times New Roman" w:hAnsi="Times New Roman"/>
                            <w:b/>
                            <w:bCs/>
                            <w:sz w:val="22"/>
                            <w:szCs w:val="22"/>
                          </w:rPr>
                        </w:pPr>
                      </w:p>
                    </w:tc>
                    <w:tc>
                      <w:tcPr>
                        <w:tcW w:w="7096" w:type="dxa"/>
                        <w:tcBorders>
                          <w:top w:val="nil"/>
                          <w:left w:val="nil"/>
                          <w:bottom w:val="nil"/>
                          <w:right w:val="nil"/>
                        </w:tcBorders>
                      </w:tcPr>
                      <w:p w14:paraId="69DAECA0" w14:textId="77777777" w:rsidR="00185309" w:rsidRPr="00F77BF0" w:rsidRDefault="00185309" w:rsidP="0090086B">
                        <w:pPr>
                          <w:widowControl/>
                          <w:tabs>
                            <w:tab w:val="left" w:pos="-1440"/>
                          </w:tabs>
                          <w:rPr>
                            <w:rFonts w:ascii="Times New Roman" w:hAnsi="Times New Roman"/>
                            <w:b/>
                            <w:bCs/>
                            <w:sz w:val="22"/>
                            <w:szCs w:val="22"/>
                          </w:rPr>
                        </w:pPr>
                        <w:r w:rsidRPr="00F77BF0">
                          <w:rPr>
                            <w:rFonts w:ascii="Times New Roman" w:hAnsi="Times New Roman"/>
                            <w:b/>
                            <w:bCs/>
                            <w:sz w:val="22"/>
                            <w:szCs w:val="22"/>
                          </w:rPr>
                          <w:t>Media Contact</w:t>
                        </w:r>
                      </w:p>
                    </w:tc>
                  </w:tr>
                  <w:tr w:rsidR="00185309" w:rsidRPr="00F77BF0" w14:paraId="5ADC7AA4" w14:textId="77777777" w:rsidTr="0090086B">
                    <w:tc>
                      <w:tcPr>
                        <w:tcW w:w="4657" w:type="dxa"/>
                        <w:tcBorders>
                          <w:top w:val="nil"/>
                          <w:left w:val="nil"/>
                          <w:bottom w:val="nil"/>
                          <w:right w:val="nil"/>
                        </w:tcBorders>
                      </w:tcPr>
                      <w:p w14:paraId="43ACDE3E" w14:textId="77777777" w:rsidR="00185309" w:rsidRPr="00F77BF0" w:rsidRDefault="00185309" w:rsidP="0090086B">
                        <w:pPr>
                          <w:widowControl/>
                          <w:tabs>
                            <w:tab w:val="left" w:pos="-1440"/>
                          </w:tabs>
                          <w:rPr>
                            <w:rFonts w:ascii="Times New Roman" w:hAnsi="Times New Roman"/>
                            <w:b/>
                            <w:bCs/>
                            <w:sz w:val="22"/>
                            <w:szCs w:val="22"/>
                          </w:rPr>
                        </w:pPr>
                        <w:r w:rsidRPr="00F77BF0">
                          <w:rPr>
                            <w:rFonts w:ascii="Times New Roman" w:hAnsi="Times New Roman"/>
                            <w:b/>
                            <w:bCs/>
                            <w:sz w:val="22"/>
                            <w:szCs w:val="22"/>
                          </w:rPr>
                          <w:t>Suite 1250, 615 Chestnut Street</w:t>
                        </w:r>
                      </w:p>
                    </w:tc>
                    <w:tc>
                      <w:tcPr>
                        <w:tcW w:w="1080" w:type="dxa"/>
                        <w:tcBorders>
                          <w:top w:val="nil"/>
                          <w:left w:val="nil"/>
                          <w:bottom w:val="nil"/>
                          <w:right w:val="nil"/>
                        </w:tcBorders>
                      </w:tcPr>
                      <w:p w14:paraId="59D6C92A" w14:textId="77777777" w:rsidR="00185309" w:rsidRPr="00F77BF0" w:rsidRDefault="00185309" w:rsidP="0090086B">
                        <w:pPr>
                          <w:widowControl/>
                          <w:tabs>
                            <w:tab w:val="left" w:pos="-1440"/>
                          </w:tabs>
                          <w:rPr>
                            <w:rFonts w:ascii="Times New Roman" w:hAnsi="Times New Roman"/>
                            <w:b/>
                            <w:bCs/>
                            <w:sz w:val="22"/>
                            <w:szCs w:val="22"/>
                          </w:rPr>
                        </w:pPr>
                      </w:p>
                    </w:tc>
                    <w:tc>
                      <w:tcPr>
                        <w:tcW w:w="7096" w:type="dxa"/>
                        <w:tcBorders>
                          <w:top w:val="nil"/>
                          <w:left w:val="nil"/>
                          <w:bottom w:val="nil"/>
                          <w:right w:val="nil"/>
                        </w:tcBorders>
                      </w:tcPr>
                      <w:p w14:paraId="1FF02587" w14:textId="7878626F" w:rsidR="00185309" w:rsidRPr="00F77BF0" w:rsidRDefault="00AE0786" w:rsidP="0090086B">
                        <w:pPr>
                          <w:widowControl/>
                          <w:tabs>
                            <w:tab w:val="left" w:pos="-1440"/>
                          </w:tabs>
                          <w:rPr>
                            <w:rFonts w:ascii="Times New Roman" w:hAnsi="Times New Roman"/>
                            <w:b/>
                            <w:bCs/>
                            <w:sz w:val="22"/>
                            <w:szCs w:val="22"/>
                          </w:rPr>
                        </w:pPr>
                        <w:r>
                          <w:rPr>
                            <w:rFonts w:ascii="Times New Roman" w:hAnsi="Times New Roman"/>
                            <w:b/>
                            <w:bCs/>
                            <w:sz w:val="22"/>
                            <w:szCs w:val="22"/>
                          </w:rPr>
                          <w:t>215-861-</w:t>
                        </w:r>
                        <w:r w:rsidR="00640465">
                          <w:rPr>
                            <w:rFonts w:ascii="Times New Roman" w:hAnsi="Times New Roman"/>
                            <w:b/>
                            <w:bCs/>
                            <w:sz w:val="22"/>
                            <w:szCs w:val="22"/>
                          </w:rPr>
                          <w:t>8218</w:t>
                        </w:r>
                      </w:p>
                    </w:tc>
                  </w:tr>
                  <w:tr w:rsidR="00185309" w:rsidRPr="00F77BF0" w14:paraId="033D58DC" w14:textId="77777777" w:rsidTr="0090086B">
                    <w:tc>
                      <w:tcPr>
                        <w:tcW w:w="4657" w:type="dxa"/>
                        <w:tcBorders>
                          <w:top w:val="nil"/>
                          <w:left w:val="nil"/>
                          <w:bottom w:val="nil"/>
                          <w:right w:val="nil"/>
                        </w:tcBorders>
                      </w:tcPr>
                      <w:p w14:paraId="5759D42C" w14:textId="77777777" w:rsidR="00185309" w:rsidRPr="00F77BF0" w:rsidRDefault="00185309" w:rsidP="0090086B">
                        <w:pPr>
                          <w:widowControl/>
                          <w:tabs>
                            <w:tab w:val="left" w:pos="-1440"/>
                          </w:tabs>
                          <w:rPr>
                            <w:rFonts w:ascii="Times New Roman" w:hAnsi="Times New Roman"/>
                            <w:b/>
                            <w:bCs/>
                            <w:sz w:val="22"/>
                            <w:szCs w:val="22"/>
                          </w:rPr>
                        </w:pPr>
                        <w:r w:rsidRPr="00F77BF0">
                          <w:rPr>
                            <w:rFonts w:ascii="Times New Roman" w:hAnsi="Times New Roman"/>
                            <w:b/>
                            <w:bCs/>
                            <w:sz w:val="22"/>
                            <w:szCs w:val="22"/>
                          </w:rPr>
                          <w:t>Philadelphia, PA 19106</w:t>
                        </w:r>
                      </w:p>
                    </w:tc>
                    <w:tc>
                      <w:tcPr>
                        <w:tcW w:w="1080" w:type="dxa"/>
                        <w:tcBorders>
                          <w:top w:val="nil"/>
                          <w:left w:val="nil"/>
                          <w:bottom w:val="nil"/>
                          <w:right w:val="nil"/>
                        </w:tcBorders>
                      </w:tcPr>
                      <w:p w14:paraId="2C2D79B9" w14:textId="77777777" w:rsidR="00185309" w:rsidRPr="00F77BF0" w:rsidRDefault="00185309" w:rsidP="0090086B">
                        <w:pPr>
                          <w:widowControl/>
                          <w:tabs>
                            <w:tab w:val="left" w:pos="-1440"/>
                          </w:tabs>
                          <w:rPr>
                            <w:rFonts w:ascii="Times New Roman" w:hAnsi="Times New Roman"/>
                            <w:b/>
                            <w:bCs/>
                            <w:sz w:val="22"/>
                            <w:szCs w:val="22"/>
                          </w:rPr>
                        </w:pPr>
                      </w:p>
                    </w:tc>
                    <w:tc>
                      <w:tcPr>
                        <w:tcW w:w="7096" w:type="dxa"/>
                        <w:tcBorders>
                          <w:top w:val="nil"/>
                          <w:left w:val="nil"/>
                          <w:bottom w:val="nil"/>
                          <w:right w:val="nil"/>
                        </w:tcBorders>
                      </w:tcPr>
                      <w:p w14:paraId="67A36A99" w14:textId="77777777" w:rsidR="00185309" w:rsidRPr="00F77BF0" w:rsidRDefault="00185309" w:rsidP="0090086B">
                        <w:pPr>
                          <w:widowControl/>
                          <w:tabs>
                            <w:tab w:val="left" w:pos="-1440"/>
                          </w:tabs>
                          <w:rPr>
                            <w:rFonts w:ascii="Times New Roman" w:hAnsi="Times New Roman"/>
                            <w:b/>
                            <w:bCs/>
                            <w:sz w:val="22"/>
                            <w:szCs w:val="22"/>
                          </w:rPr>
                        </w:pPr>
                      </w:p>
                    </w:tc>
                  </w:tr>
                </w:tbl>
                <w:p w14:paraId="6386AB43" w14:textId="77777777" w:rsidR="00185309" w:rsidRPr="00F77BF0" w:rsidRDefault="00185309" w:rsidP="0090086B">
                  <w:pPr>
                    <w:widowControl/>
                    <w:tabs>
                      <w:tab w:val="left" w:pos="-1440"/>
                    </w:tabs>
                    <w:rPr>
                      <w:b/>
                      <w:bCs/>
                      <w:sz w:val="22"/>
                      <w:szCs w:val="22"/>
                    </w:rPr>
                  </w:pPr>
                </w:p>
              </w:tc>
            </w:tr>
            <w:tr w:rsidR="00185309" w:rsidRPr="00F77BF0" w14:paraId="4A477A2E" w14:textId="77777777" w:rsidTr="0090086B">
              <w:tc>
                <w:tcPr>
                  <w:tcW w:w="9000" w:type="dxa"/>
                  <w:tcBorders>
                    <w:top w:val="single" w:sz="6" w:space="0" w:color="FFFFFF"/>
                    <w:left w:val="single" w:sz="6" w:space="0" w:color="FFFFFF"/>
                    <w:bottom w:val="single" w:sz="6" w:space="0" w:color="FFFFFF"/>
                    <w:right w:val="single" w:sz="6" w:space="0" w:color="FFFFFF"/>
                  </w:tcBorders>
                </w:tcPr>
                <w:p w14:paraId="0328AB7D" w14:textId="77777777" w:rsidR="00185309" w:rsidRPr="00F77BF0" w:rsidRDefault="00185309" w:rsidP="0090086B">
                  <w:pPr>
                    <w:widowControl/>
                    <w:rPr>
                      <w:sz w:val="22"/>
                      <w:szCs w:val="22"/>
                    </w:rPr>
                  </w:pPr>
                </w:p>
              </w:tc>
            </w:tr>
            <w:tr w:rsidR="00185309" w:rsidRPr="00F77BF0" w14:paraId="7CC9D8DC" w14:textId="77777777" w:rsidTr="0090086B">
              <w:tc>
                <w:tcPr>
                  <w:tcW w:w="9000" w:type="dxa"/>
                  <w:tcBorders>
                    <w:top w:val="single" w:sz="6" w:space="0" w:color="FFFFFF"/>
                    <w:left w:val="single" w:sz="6" w:space="0" w:color="FFFFFF"/>
                    <w:bottom w:val="single" w:sz="6" w:space="0" w:color="FFFFFF"/>
                    <w:right w:val="single" w:sz="6" w:space="0" w:color="FFFFFF"/>
                  </w:tcBorders>
                </w:tcPr>
                <w:p w14:paraId="33271127" w14:textId="77777777" w:rsidR="00185309" w:rsidRPr="00F77BF0" w:rsidRDefault="00185309" w:rsidP="0090086B">
                  <w:pPr>
                    <w:spacing w:line="144" w:lineRule="exact"/>
                    <w:rPr>
                      <w:b/>
                      <w:bCs/>
                      <w:sz w:val="22"/>
                      <w:szCs w:val="22"/>
                    </w:rPr>
                  </w:pPr>
                </w:p>
              </w:tc>
            </w:tr>
          </w:tbl>
          <w:p w14:paraId="66916C00" w14:textId="77777777" w:rsidR="00185309" w:rsidRPr="00F77BF0" w:rsidRDefault="00185309" w:rsidP="0090086B">
            <w:pPr>
              <w:widowControl/>
              <w:tabs>
                <w:tab w:val="left" w:pos="-1440"/>
              </w:tabs>
              <w:rPr>
                <w:b/>
                <w:bCs/>
                <w:sz w:val="22"/>
                <w:szCs w:val="22"/>
              </w:rPr>
            </w:pPr>
          </w:p>
        </w:tc>
      </w:tr>
      <w:tr w:rsidR="00185309" w:rsidRPr="00F77BF0" w14:paraId="08A53346" w14:textId="77777777" w:rsidTr="0090086B">
        <w:tc>
          <w:tcPr>
            <w:tcW w:w="9000" w:type="dxa"/>
            <w:tcBorders>
              <w:top w:val="single" w:sz="6" w:space="0" w:color="FFFFFF"/>
              <w:left w:val="single" w:sz="6" w:space="0" w:color="FFFFFF"/>
              <w:bottom w:val="single" w:sz="6" w:space="0" w:color="FFFFFF"/>
              <w:right w:val="single" w:sz="6" w:space="0" w:color="FFFFFF"/>
            </w:tcBorders>
          </w:tcPr>
          <w:p w14:paraId="548C7603" w14:textId="339815BD" w:rsidR="00B72365" w:rsidRPr="001F50FB" w:rsidRDefault="00B72365" w:rsidP="00B72365">
            <w:pPr>
              <w:ind w:right="271"/>
              <w:jc w:val="center"/>
              <w:rPr>
                <w:rFonts w:eastAsiaTheme="minorHAnsi"/>
                <w:i/>
              </w:rPr>
            </w:pPr>
            <w:r w:rsidRPr="001F50FB">
              <w:rPr>
                <w:i/>
              </w:rPr>
              <w:t xml:space="preserve">If you have not done so already, follow @USAO_EDPA </w:t>
            </w:r>
            <w:r w:rsidR="00441769">
              <w:rPr>
                <w:i/>
              </w:rPr>
              <w:t>on Twitter</w:t>
            </w:r>
            <w:r w:rsidRPr="001F50FB">
              <w:rPr>
                <w:i/>
              </w:rPr>
              <w:t xml:space="preserve"> to get the most up-to-date information about big cases and community news.</w:t>
            </w:r>
          </w:p>
          <w:p w14:paraId="2B983139" w14:textId="77777777" w:rsidR="00185309" w:rsidRPr="00F77BF0" w:rsidRDefault="00185309" w:rsidP="0090086B">
            <w:pPr>
              <w:widowControl/>
              <w:rPr>
                <w:sz w:val="22"/>
                <w:szCs w:val="22"/>
              </w:rPr>
            </w:pPr>
          </w:p>
        </w:tc>
      </w:tr>
      <w:tr w:rsidR="00185309" w:rsidRPr="00F77BF0" w14:paraId="30E45348" w14:textId="77777777" w:rsidTr="0090086B">
        <w:tc>
          <w:tcPr>
            <w:tcW w:w="9000" w:type="dxa"/>
            <w:tcBorders>
              <w:top w:val="single" w:sz="6" w:space="0" w:color="FFFFFF"/>
              <w:left w:val="single" w:sz="6" w:space="0" w:color="FFFFFF"/>
              <w:bottom w:val="single" w:sz="6" w:space="0" w:color="FFFFFF"/>
              <w:right w:val="single" w:sz="6" w:space="0" w:color="FFFFFF"/>
            </w:tcBorders>
          </w:tcPr>
          <w:p w14:paraId="44ACB68F" w14:textId="77777777" w:rsidR="00185309" w:rsidRPr="00F77BF0" w:rsidRDefault="00185309" w:rsidP="0090086B">
            <w:pPr>
              <w:spacing w:line="144" w:lineRule="exact"/>
              <w:rPr>
                <w:b/>
                <w:bCs/>
                <w:sz w:val="22"/>
                <w:szCs w:val="22"/>
              </w:rPr>
            </w:pPr>
          </w:p>
        </w:tc>
      </w:tr>
    </w:tbl>
    <w:p w14:paraId="425BC800" w14:textId="77777777" w:rsidR="00185309" w:rsidRPr="00F77BF0" w:rsidRDefault="00185309" w:rsidP="00185309">
      <w:pPr>
        <w:widowControl/>
        <w:tabs>
          <w:tab w:val="center" w:pos="4680"/>
        </w:tabs>
        <w:jc w:val="center"/>
        <w:rPr>
          <w:sz w:val="22"/>
          <w:szCs w:val="22"/>
        </w:rPr>
      </w:pPr>
      <w:r w:rsidRPr="00F77BF0">
        <w:rPr>
          <w:i/>
          <w:iCs/>
          <w:sz w:val="22"/>
          <w:szCs w:val="22"/>
        </w:rPr>
        <w:t>COPIES OF NEWS MEMOS AND RELATED DOCUMENTS CAN ALSO BE FOUND AT</w:t>
      </w:r>
    </w:p>
    <w:p w14:paraId="56146F7B" w14:textId="77777777" w:rsidR="00185309" w:rsidRPr="00F77BF0" w:rsidRDefault="00185309" w:rsidP="00185309">
      <w:pPr>
        <w:widowControl/>
        <w:jc w:val="center"/>
        <w:rPr>
          <w:i/>
          <w:iCs/>
          <w:sz w:val="22"/>
          <w:szCs w:val="22"/>
        </w:rPr>
      </w:pPr>
      <w:r w:rsidRPr="00F77BF0">
        <w:rPr>
          <w:rStyle w:val="Hypertext"/>
          <w:i/>
          <w:iCs/>
          <w:sz w:val="22"/>
          <w:szCs w:val="22"/>
        </w:rPr>
        <w:t>http://www.justice.gov/usao/pae</w:t>
      </w:r>
    </w:p>
    <w:p w14:paraId="1DC1B2D3" w14:textId="39A93A07" w:rsidR="00E52E00" w:rsidRPr="00F77BF0" w:rsidRDefault="005E17D7" w:rsidP="00B04720">
      <w:pPr>
        <w:ind w:right="720"/>
      </w:pPr>
      <w:r w:rsidRPr="00F77BF0">
        <w:tab/>
      </w:r>
    </w:p>
    <w:sectPr w:rsidR="00E52E00" w:rsidRPr="00F77BF0">
      <w:pgSz w:w="12240" w:h="15840"/>
      <w:pgMar w:top="72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F973" w14:textId="77777777" w:rsidR="00BF68B9" w:rsidRDefault="00BF68B9" w:rsidP="005842BA">
      <w:r>
        <w:separator/>
      </w:r>
    </w:p>
  </w:endnote>
  <w:endnote w:type="continuationSeparator" w:id="0">
    <w:p w14:paraId="46DFB5F3" w14:textId="77777777" w:rsidR="00BF68B9" w:rsidRDefault="00BF68B9" w:rsidP="0058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4B8D" w14:textId="77777777" w:rsidR="00BF68B9" w:rsidRDefault="00BF68B9" w:rsidP="005842BA">
      <w:r>
        <w:separator/>
      </w:r>
    </w:p>
  </w:footnote>
  <w:footnote w:type="continuationSeparator" w:id="0">
    <w:p w14:paraId="03D50C55" w14:textId="77777777" w:rsidR="00BF68B9" w:rsidRDefault="00BF68B9" w:rsidP="0058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693B09DF-3D7D-41FE-B99C-E6CA91D3D136"/>
  </w:docVars>
  <w:rsids>
    <w:rsidRoot w:val="003032C5"/>
    <w:rsid w:val="000309E5"/>
    <w:rsid w:val="000852F9"/>
    <w:rsid w:val="00086A0F"/>
    <w:rsid w:val="000A40CD"/>
    <w:rsid w:val="00131B5B"/>
    <w:rsid w:val="0014796A"/>
    <w:rsid w:val="00185309"/>
    <w:rsid w:val="001F60B3"/>
    <w:rsid w:val="00212786"/>
    <w:rsid w:val="00243D74"/>
    <w:rsid w:val="002540DE"/>
    <w:rsid w:val="002F1967"/>
    <w:rsid w:val="003032C5"/>
    <w:rsid w:val="00310B94"/>
    <w:rsid w:val="00315835"/>
    <w:rsid w:val="00352A96"/>
    <w:rsid w:val="00354055"/>
    <w:rsid w:val="003B160B"/>
    <w:rsid w:val="003C5001"/>
    <w:rsid w:val="003E606C"/>
    <w:rsid w:val="0042428A"/>
    <w:rsid w:val="00424D1D"/>
    <w:rsid w:val="00441769"/>
    <w:rsid w:val="004747C9"/>
    <w:rsid w:val="004D0EF6"/>
    <w:rsid w:val="0057404A"/>
    <w:rsid w:val="005842BA"/>
    <w:rsid w:val="005B691A"/>
    <w:rsid w:val="005E17D7"/>
    <w:rsid w:val="006268B2"/>
    <w:rsid w:val="00640465"/>
    <w:rsid w:val="0069564A"/>
    <w:rsid w:val="006E6DDE"/>
    <w:rsid w:val="007033F5"/>
    <w:rsid w:val="00747D66"/>
    <w:rsid w:val="00750E67"/>
    <w:rsid w:val="007A273B"/>
    <w:rsid w:val="008235BF"/>
    <w:rsid w:val="0083060A"/>
    <w:rsid w:val="00856969"/>
    <w:rsid w:val="00897254"/>
    <w:rsid w:val="0090104E"/>
    <w:rsid w:val="00904E5C"/>
    <w:rsid w:val="009404F1"/>
    <w:rsid w:val="0095641E"/>
    <w:rsid w:val="009D1E0D"/>
    <w:rsid w:val="00A329A2"/>
    <w:rsid w:val="00A33AF0"/>
    <w:rsid w:val="00A74B94"/>
    <w:rsid w:val="00A91BC9"/>
    <w:rsid w:val="00AA1D98"/>
    <w:rsid w:val="00AE0786"/>
    <w:rsid w:val="00B04720"/>
    <w:rsid w:val="00B3382F"/>
    <w:rsid w:val="00B678E7"/>
    <w:rsid w:val="00B72365"/>
    <w:rsid w:val="00B761DC"/>
    <w:rsid w:val="00BE5F35"/>
    <w:rsid w:val="00BF27EC"/>
    <w:rsid w:val="00BF68B9"/>
    <w:rsid w:val="00C00C18"/>
    <w:rsid w:val="00C07584"/>
    <w:rsid w:val="00C17E4E"/>
    <w:rsid w:val="00C7231B"/>
    <w:rsid w:val="00C76222"/>
    <w:rsid w:val="00C86B60"/>
    <w:rsid w:val="00CA0449"/>
    <w:rsid w:val="00CD1D84"/>
    <w:rsid w:val="00D307D0"/>
    <w:rsid w:val="00D629BD"/>
    <w:rsid w:val="00D708F2"/>
    <w:rsid w:val="00D747A8"/>
    <w:rsid w:val="00DC32D4"/>
    <w:rsid w:val="00DC33B9"/>
    <w:rsid w:val="00DD2C29"/>
    <w:rsid w:val="00E32410"/>
    <w:rsid w:val="00E43009"/>
    <w:rsid w:val="00E52E00"/>
    <w:rsid w:val="00EA11B5"/>
    <w:rsid w:val="00F77BF0"/>
    <w:rsid w:val="00F9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88E04"/>
  <w14:defaultImageDpi w14:val="0"/>
  <w15:docId w15:val="{9EA0875E-AAA0-4683-ADB2-2D407B81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D6"/>
    <w:pPr>
      <w:widowControl w:val="0"/>
      <w:autoSpaceDE w:val="0"/>
      <w:autoSpaceDN w:val="0"/>
      <w:adjustRightInd w:val="0"/>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842BA"/>
    <w:rPr>
      <w:vertAlign w:val="superscript"/>
    </w:rPr>
  </w:style>
  <w:style w:type="table" w:styleId="TableGrid">
    <w:name w:val="Table Grid"/>
    <w:basedOn w:val="TableNormal"/>
    <w:uiPriority w:val="59"/>
    <w:rsid w:val="0088723B"/>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8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8CB"/>
    <w:rPr>
      <w:rFonts w:ascii="Tahoma" w:hAnsi="Tahoma" w:cs="Tahoma"/>
      <w:sz w:val="16"/>
      <w:szCs w:val="16"/>
    </w:rPr>
  </w:style>
  <w:style w:type="paragraph" w:styleId="FootnoteText">
    <w:name w:val="footnote text"/>
    <w:basedOn w:val="Normal"/>
    <w:link w:val="FootnoteTextChar"/>
    <w:uiPriority w:val="99"/>
    <w:semiHidden/>
    <w:unhideWhenUsed/>
    <w:rsid w:val="005842BA"/>
    <w:rPr>
      <w:sz w:val="20"/>
      <w:szCs w:val="20"/>
    </w:rPr>
  </w:style>
  <w:style w:type="character" w:customStyle="1" w:styleId="FootnoteTextChar">
    <w:name w:val="Footnote Text Char"/>
    <w:basedOn w:val="DefaultParagraphFont"/>
    <w:link w:val="FootnoteText"/>
    <w:uiPriority w:val="99"/>
    <w:semiHidden/>
    <w:rsid w:val="005842BA"/>
    <w:rPr>
      <w:rFonts w:eastAsiaTheme="minorEastAsia"/>
    </w:rPr>
  </w:style>
  <w:style w:type="character" w:customStyle="1" w:styleId="Hypertext">
    <w:name w:val="Hypertext"/>
    <w:uiPriority w:val="99"/>
    <w:rsid w:val="00185309"/>
    <w:rPr>
      <w:color w:val="0000FF"/>
      <w:u w:val="single"/>
    </w:rPr>
  </w:style>
  <w:style w:type="paragraph" w:styleId="Revision">
    <w:name w:val="Revision"/>
    <w:hidden/>
    <w:uiPriority w:val="99"/>
    <w:semiHidden/>
    <w:rsid w:val="007033F5"/>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CD1D84"/>
    <w:rPr>
      <w:sz w:val="16"/>
      <w:szCs w:val="16"/>
    </w:rPr>
  </w:style>
  <w:style w:type="paragraph" w:styleId="CommentText">
    <w:name w:val="annotation text"/>
    <w:basedOn w:val="Normal"/>
    <w:link w:val="CommentTextChar"/>
    <w:uiPriority w:val="99"/>
    <w:unhideWhenUsed/>
    <w:rsid w:val="00CD1D84"/>
    <w:rPr>
      <w:sz w:val="20"/>
      <w:szCs w:val="20"/>
    </w:rPr>
  </w:style>
  <w:style w:type="character" w:customStyle="1" w:styleId="CommentTextChar">
    <w:name w:val="Comment Text Char"/>
    <w:basedOn w:val="DefaultParagraphFont"/>
    <w:link w:val="CommentText"/>
    <w:uiPriority w:val="99"/>
    <w:rsid w:val="00CD1D84"/>
    <w:rPr>
      <w:rFonts w:eastAsiaTheme="minorEastAsia"/>
    </w:rPr>
  </w:style>
  <w:style w:type="paragraph" w:styleId="CommentSubject">
    <w:name w:val="annotation subject"/>
    <w:basedOn w:val="CommentText"/>
    <w:next w:val="CommentText"/>
    <w:link w:val="CommentSubjectChar"/>
    <w:uiPriority w:val="99"/>
    <w:semiHidden/>
    <w:unhideWhenUsed/>
    <w:rsid w:val="00CD1D84"/>
    <w:rPr>
      <w:b/>
      <w:bCs/>
    </w:rPr>
  </w:style>
  <w:style w:type="character" w:customStyle="1" w:styleId="CommentSubjectChar">
    <w:name w:val="Comment Subject Char"/>
    <w:basedOn w:val="CommentTextChar"/>
    <w:link w:val="CommentSubject"/>
    <w:uiPriority w:val="99"/>
    <w:semiHidden/>
    <w:rsid w:val="00CD1D84"/>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EAEC97F217EC42A21A860FC296B383" ma:contentTypeVersion="1" ma:contentTypeDescription="Create a new document." ma:contentTypeScope="" ma:versionID="52892d38ab0457a5502660cf5aeb2e05">
  <xsd:schema xmlns:xsd="http://www.w3.org/2001/XMLSchema" xmlns:xs="http://www.w3.org/2001/XMLSchema" xmlns:p="http://schemas.microsoft.com/office/2006/metadata/properties" xmlns:ns1="http://schemas.microsoft.com/sharepoint/v3" targetNamespace="http://schemas.microsoft.com/office/2006/metadata/properties" ma:root="true" ma:fieldsID="a0de9c393760915f21940f92ac9bfe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7DF872-286C-4ABE-99F3-A6A4EAFE48FA}">
  <ds:schemaRefs>
    <ds:schemaRef ds:uri="http://schemas.microsoft.com/sharepoint/v3/contenttype/forms"/>
  </ds:schemaRefs>
</ds:datastoreItem>
</file>

<file path=customXml/itemProps2.xml><?xml version="1.0" encoding="utf-8"?>
<ds:datastoreItem xmlns:ds="http://schemas.openxmlformats.org/officeDocument/2006/customXml" ds:itemID="{7B5054EF-7FAD-46B5-91C2-6791C2C8BF59}">
  <ds:schemaRefs>
    <ds:schemaRef ds:uri="http://schemas.openxmlformats.org/officeDocument/2006/bibliography"/>
  </ds:schemaRefs>
</ds:datastoreItem>
</file>

<file path=customXml/itemProps3.xml><?xml version="1.0" encoding="utf-8"?>
<ds:datastoreItem xmlns:ds="http://schemas.openxmlformats.org/officeDocument/2006/customXml" ds:itemID="{B2BC550D-0E53-4CB1-9054-C170D8335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AC685-4A6E-441E-9074-7E38273114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Letterhead</vt:lpstr>
    </vt:vector>
  </TitlesOfParts>
  <Company>US Attorneys Office</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cpozos</dc:creator>
  <cp:lastModifiedBy>Gauri, Vineet (USAPAE)</cp:lastModifiedBy>
  <cp:revision>6</cp:revision>
  <cp:lastPrinted>2018-06-11T19:45:00Z</cp:lastPrinted>
  <dcterms:created xsi:type="dcterms:W3CDTF">2024-01-09T19:30:00Z</dcterms:created>
  <dcterms:modified xsi:type="dcterms:W3CDTF">2024-01-09T21:29:00Z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0x01010048EAEC97F217EC42A21A860FC296B383</vt:lpwstr>
  </property>
</Properties>
</file>