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74" w:rsidRDefault="00CF6874" w:rsidP="00330797">
      <w:pPr>
        <w:spacing w:after="0" w:line="240" w:lineRule="auto"/>
        <w:jc w:val="center"/>
        <w:rPr>
          <w:rFonts w:ascii="Times New Roman" w:eastAsia="Times New Roman" w:hAnsi="Times New Roman" w:cs="Times New Roman"/>
          <w:sz w:val="24"/>
          <w:szCs w:val="24"/>
        </w:rPr>
      </w:pPr>
    </w:p>
    <w:p w:rsidR="00CF6874" w:rsidRDefault="00CF6874" w:rsidP="00CF6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-2265</wp:posOffset>
            </wp:positionV>
            <wp:extent cx="1550944" cy="155094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AL Color Seal.jpg"/>
                    <pic:cNvPicPr/>
                  </pic:nvPicPr>
                  <pic:blipFill>
                    <a:blip r:embed="rId7">
                      <a:extLst>
                        <a:ext uri="{28A0092B-C50C-407E-A947-70E740481C1C}">
                          <a14:useLocalDpi xmlns:a14="http://schemas.microsoft.com/office/drawing/2010/main" val="0"/>
                        </a:ext>
                      </a:extLst>
                    </a:blip>
                    <a:stretch>
                      <a:fillRect/>
                    </a:stretch>
                  </pic:blipFill>
                  <pic:spPr>
                    <a:xfrm>
                      <a:off x="0" y="0"/>
                      <a:ext cx="1550944" cy="1550944"/>
                    </a:xfrm>
                    <a:prstGeom prst="rect">
                      <a:avLst/>
                    </a:prstGeom>
                  </pic:spPr>
                </pic:pic>
              </a:graphicData>
            </a:graphic>
          </wp:anchor>
        </w:drawing>
      </w:r>
    </w:p>
    <w:p w:rsidR="00CF6874" w:rsidRDefault="00CF6874" w:rsidP="00330797">
      <w:pPr>
        <w:spacing w:after="0" w:line="240" w:lineRule="auto"/>
        <w:jc w:val="center"/>
        <w:rPr>
          <w:rFonts w:ascii="Times New Roman" w:eastAsia="Times New Roman" w:hAnsi="Times New Roman" w:cs="Times New Roman"/>
          <w:b/>
          <w:sz w:val="24"/>
          <w:szCs w:val="24"/>
        </w:rPr>
      </w:pPr>
    </w:p>
    <w:p w:rsidR="00CF6874" w:rsidRDefault="00CF6874" w:rsidP="00330797">
      <w:pPr>
        <w:spacing w:after="0" w:line="240" w:lineRule="auto"/>
        <w:jc w:val="center"/>
        <w:rPr>
          <w:rFonts w:ascii="Times New Roman" w:eastAsia="Times New Roman" w:hAnsi="Times New Roman" w:cs="Times New Roman"/>
          <w:b/>
          <w:sz w:val="24"/>
          <w:szCs w:val="24"/>
        </w:rPr>
      </w:pPr>
    </w:p>
    <w:p w:rsidR="00330797" w:rsidRDefault="00C25C4A" w:rsidP="003307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Attorney’s Office</w:t>
      </w:r>
    </w:p>
    <w:p w:rsidR="00C25C4A" w:rsidRDefault="00C25C4A" w:rsidP="003307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Northern District of Alabama</w:t>
      </w:r>
    </w:p>
    <w:p w:rsidR="00C25C4A" w:rsidRDefault="00C25C4A" w:rsidP="00330797">
      <w:pPr>
        <w:spacing w:after="0" w:line="240" w:lineRule="auto"/>
        <w:jc w:val="center"/>
        <w:rPr>
          <w:rFonts w:ascii="Times New Roman" w:eastAsia="Times New Roman" w:hAnsi="Times New Roman" w:cs="Times New Roman"/>
          <w:b/>
          <w:sz w:val="24"/>
          <w:szCs w:val="24"/>
        </w:rPr>
      </w:pPr>
    </w:p>
    <w:p w:rsidR="00C25C4A" w:rsidRDefault="00C25C4A" w:rsidP="003307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 2017 Data</w:t>
      </w:r>
    </w:p>
    <w:p w:rsidR="0062205B" w:rsidRPr="00CF6874" w:rsidRDefault="0062205B" w:rsidP="00330797">
      <w:pPr>
        <w:spacing w:after="0" w:line="240" w:lineRule="auto"/>
        <w:jc w:val="center"/>
        <w:rPr>
          <w:rFonts w:ascii="Times New Roman" w:eastAsia="Times New Roman" w:hAnsi="Times New Roman" w:cs="Times New Roman"/>
          <w:b/>
          <w:sz w:val="24"/>
          <w:szCs w:val="24"/>
        </w:rPr>
      </w:pPr>
    </w:p>
    <w:p w:rsidR="00295F05" w:rsidRPr="00295F05" w:rsidRDefault="00295F05" w:rsidP="00295F05">
      <w:pPr>
        <w:spacing w:after="0" w:line="240" w:lineRule="auto"/>
        <w:rPr>
          <w:rFonts w:ascii="Times New Roman" w:eastAsia="Times New Roman" w:hAnsi="Times New Roman" w:cs="Times New Roman"/>
          <w:sz w:val="24"/>
          <w:szCs w:val="24"/>
        </w:rPr>
      </w:pPr>
    </w:p>
    <w:p w:rsidR="00CF6874" w:rsidRDefault="000D44C7" w:rsidP="00CA43B2">
      <w:pPr>
        <w:spacing w:after="0" w:line="240" w:lineRule="auto"/>
        <w:rPr>
          <w:rFonts w:ascii="Times New Roman" w:hAnsi="Times New Roman" w:cs="Times New Roman"/>
          <w:b/>
          <w:color w:val="222222"/>
          <w:sz w:val="24"/>
          <w:szCs w:val="24"/>
          <w:shd w:val="clear" w:color="auto" w:fill="FFFFFF"/>
        </w:rPr>
      </w:pPr>
      <w:r w:rsidRPr="00080DC2">
        <w:rPr>
          <w:rFonts w:ascii="Times New Roman" w:hAnsi="Times New Roman" w:cs="Times New Roman"/>
          <w:color w:val="222222"/>
          <w:sz w:val="24"/>
          <w:szCs w:val="24"/>
        </w:rPr>
        <w:br/>
      </w:r>
    </w:p>
    <w:p w:rsidR="00CF6874" w:rsidRDefault="00CF6874" w:rsidP="00CA43B2">
      <w:pPr>
        <w:spacing w:after="0" w:line="240" w:lineRule="auto"/>
        <w:rPr>
          <w:rFonts w:ascii="Times New Roman" w:hAnsi="Times New Roman" w:cs="Times New Roman"/>
          <w:b/>
          <w:color w:val="222222"/>
          <w:sz w:val="24"/>
          <w:szCs w:val="24"/>
          <w:shd w:val="clear" w:color="auto" w:fill="FFFFFF"/>
        </w:rPr>
      </w:pPr>
    </w:p>
    <w:p w:rsidR="00C25C4A" w:rsidRPr="00FC522A" w:rsidRDefault="00C25C4A" w:rsidP="00C25C4A">
      <w:pPr>
        <w:spacing w:after="0" w:line="240" w:lineRule="auto"/>
        <w:rPr>
          <w:rFonts w:ascii="Times New Roman" w:eastAsia="Times New Roman" w:hAnsi="Times New Roman" w:cs="Times New Roman"/>
          <w:sz w:val="24"/>
          <w:szCs w:val="24"/>
        </w:rPr>
      </w:pPr>
      <w:r w:rsidRPr="00FC522A">
        <w:rPr>
          <w:rFonts w:ascii="Times New Roman" w:eastAsia="Times New Roman" w:hAnsi="Times New Roman" w:cs="Times New Roman"/>
          <w:sz w:val="24"/>
          <w:szCs w:val="24"/>
        </w:rPr>
        <w:t>According to D</w:t>
      </w:r>
      <w:r w:rsidR="00BF6218">
        <w:rPr>
          <w:rFonts w:ascii="Times New Roman" w:eastAsia="Times New Roman" w:hAnsi="Times New Roman" w:cs="Times New Roman"/>
          <w:sz w:val="24"/>
          <w:szCs w:val="24"/>
        </w:rPr>
        <w:t>epartment of Justice</w:t>
      </w:r>
      <w:r w:rsidRPr="00FC522A">
        <w:rPr>
          <w:rFonts w:ascii="Times New Roman" w:eastAsia="Times New Roman" w:hAnsi="Times New Roman" w:cs="Times New Roman"/>
          <w:sz w:val="24"/>
          <w:szCs w:val="24"/>
        </w:rPr>
        <w:t xml:space="preserve"> records, the relevant </w:t>
      </w:r>
      <w:r w:rsidR="00BF6218">
        <w:rPr>
          <w:rFonts w:ascii="Times New Roman" w:eastAsia="Times New Roman" w:hAnsi="Times New Roman" w:cs="Times New Roman"/>
          <w:sz w:val="24"/>
          <w:szCs w:val="24"/>
        </w:rPr>
        <w:t xml:space="preserve">prosecutorial and litigation </w:t>
      </w:r>
      <w:r w:rsidR="00EF40D5">
        <w:rPr>
          <w:rFonts w:ascii="Times New Roman" w:eastAsia="Times New Roman" w:hAnsi="Times New Roman" w:cs="Times New Roman"/>
          <w:sz w:val="24"/>
          <w:szCs w:val="24"/>
        </w:rPr>
        <w:t>data</w:t>
      </w:r>
      <w:r w:rsidRPr="00FC522A">
        <w:rPr>
          <w:rFonts w:ascii="Times New Roman" w:eastAsia="Times New Roman" w:hAnsi="Times New Roman" w:cs="Times New Roman"/>
          <w:sz w:val="24"/>
          <w:szCs w:val="24"/>
        </w:rPr>
        <w:t xml:space="preserve"> to </w:t>
      </w:r>
      <w:proofErr w:type="gramStart"/>
      <w:r w:rsidRPr="00FC522A">
        <w:rPr>
          <w:rFonts w:ascii="Times New Roman" w:eastAsia="Times New Roman" w:hAnsi="Times New Roman" w:cs="Times New Roman"/>
          <w:sz w:val="24"/>
          <w:szCs w:val="24"/>
        </w:rPr>
        <w:t>be considered</w:t>
      </w:r>
      <w:proofErr w:type="gramEnd"/>
      <w:r w:rsidRPr="00FC522A">
        <w:rPr>
          <w:rFonts w:ascii="Times New Roman" w:eastAsia="Times New Roman" w:hAnsi="Times New Roman" w:cs="Times New Roman"/>
          <w:sz w:val="24"/>
          <w:szCs w:val="24"/>
        </w:rPr>
        <w:t xml:space="preserve"> for </w:t>
      </w:r>
      <w:r w:rsidR="00F22FFD" w:rsidRPr="00FC522A">
        <w:rPr>
          <w:rFonts w:ascii="Times New Roman" w:eastAsia="Times New Roman" w:hAnsi="Times New Roman" w:cs="Times New Roman"/>
          <w:sz w:val="24"/>
          <w:szCs w:val="24"/>
        </w:rPr>
        <w:t>publication</w:t>
      </w:r>
      <w:r w:rsidRPr="00FC522A">
        <w:rPr>
          <w:rFonts w:ascii="Times New Roman" w:eastAsia="Times New Roman" w:hAnsi="Times New Roman" w:cs="Times New Roman"/>
          <w:sz w:val="24"/>
          <w:szCs w:val="24"/>
        </w:rPr>
        <w:t xml:space="preserve"> </w:t>
      </w:r>
      <w:r w:rsidR="00EF40D5">
        <w:rPr>
          <w:rFonts w:ascii="Times New Roman" w:eastAsia="Times New Roman" w:hAnsi="Times New Roman" w:cs="Times New Roman"/>
          <w:sz w:val="24"/>
          <w:szCs w:val="24"/>
        </w:rPr>
        <w:t>is</w:t>
      </w:r>
      <w:r w:rsidRPr="00FC522A">
        <w:rPr>
          <w:rFonts w:ascii="Times New Roman" w:eastAsia="Times New Roman" w:hAnsi="Times New Roman" w:cs="Times New Roman"/>
          <w:sz w:val="24"/>
          <w:szCs w:val="24"/>
        </w:rPr>
        <w:t xml:space="preserve"> as follows:    </w:t>
      </w:r>
    </w:p>
    <w:p w:rsidR="00C25C4A" w:rsidRPr="00FC522A" w:rsidRDefault="00C25C4A" w:rsidP="00C25C4A">
      <w:pPr>
        <w:spacing w:after="0" w:line="240" w:lineRule="auto"/>
        <w:rPr>
          <w:rFonts w:ascii="Times New Roman" w:eastAsia="Times New Roman" w:hAnsi="Times New Roman" w:cs="Times New Roman"/>
          <w:sz w:val="24"/>
          <w:szCs w:val="24"/>
        </w:rPr>
      </w:pPr>
    </w:p>
    <w:p w:rsidR="00C25C4A" w:rsidRPr="00FC522A" w:rsidRDefault="00C25C4A" w:rsidP="00C25C4A">
      <w:pPr>
        <w:numPr>
          <w:ilvl w:val="0"/>
          <w:numId w:val="13"/>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Criminal Division (Overall)</w:t>
      </w:r>
    </w:p>
    <w:p w:rsidR="00C25C4A" w:rsidRPr="00FC522A" w:rsidRDefault="00C25C4A" w:rsidP="00C25C4A">
      <w:pPr>
        <w:numPr>
          <w:ilvl w:val="1"/>
          <w:numId w:val="14"/>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ZERO acquittals;</w:t>
      </w:r>
    </w:p>
    <w:p w:rsidR="00C25C4A" w:rsidRPr="00FC522A" w:rsidRDefault="00C25C4A" w:rsidP="00C25C4A">
      <w:pPr>
        <w:numPr>
          <w:ilvl w:val="1"/>
          <w:numId w:val="14"/>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charged</w:t>
      </w:r>
      <w:r w:rsidRPr="00FC522A">
        <w:rPr>
          <w:rStyle w:val="FootnoteReference"/>
          <w:rFonts w:ascii="Times New Roman" w:eastAsia="Times New Roman" w:hAnsi="Times New Roman" w:cs="Times New Roman"/>
          <w:sz w:val="24"/>
          <w:szCs w:val="24"/>
        </w:rPr>
        <w:footnoteReference w:id="1"/>
      </w:r>
      <w:r w:rsidRPr="00FC522A">
        <w:rPr>
          <w:rFonts w:ascii="Times New Roman" w:eastAsia="Times New Roman" w:hAnsi="Times New Roman" w:cs="Times New Roman"/>
          <w:sz w:val="24"/>
          <w:szCs w:val="24"/>
        </w:rPr>
        <w:t xml:space="preserve"> rose 32.4% (FY16/408; FY17/540) and 540 Defendants is the highest number since FY11;</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94.4% conviction rate, highest since at least FY04;</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The number of Defendants sentenced to incarceration rose 15% (FY16/283; FY17/325), which is the highest percentage increase since FY11;</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Illegal Firearms prosecution</w:t>
      </w:r>
      <w:r w:rsidR="00296FB6">
        <w:rPr>
          <w:rFonts w:ascii="Times New Roman" w:eastAsia="Times New Roman" w:hAnsi="Times New Roman" w:cs="Times New Roman"/>
          <w:sz w:val="24"/>
          <w:szCs w:val="24"/>
        </w:rPr>
        <w:t>s</w:t>
      </w:r>
      <w:r w:rsidRPr="00FC522A">
        <w:rPr>
          <w:rStyle w:val="FootnoteReference"/>
          <w:rFonts w:ascii="Times New Roman" w:eastAsia="Times New Roman" w:hAnsi="Times New Roman" w:cs="Times New Roman"/>
          <w:sz w:val="24"/>
          <w:szCs w:val="24"/>
        </w:rPr>
        <w:footnoteReference w:id="2"/>
      </w:r>
      <w:r w:rsidRPr="00FC522A">
        <w:rPr>
          <w:rFonts w:ascii="Times New Roman" w:eastAsia="Times New Roman" w:hAnsi="Times New Roman" w:cs="Times New Roman"/>
          <w:sz w:val="24"/>
          <w:szCs w:val="24"/>
        </w:rPr>
        <w:t xml:space="preserve"> rose 36% since FY16 (FY16/165; FY17/225) and Illegal Firearms prosecutions are 57.9% higher than the average of the previous fou</w:t>
      </w:r>
      <w:r>
        <w:rPr>
          <w:rFonts w:ascii="Times New Roman" w:eastAsia="Times New Roman" w:hAnsi="Times New Roman" w:cs="Times New Roman"/>
          <w:sz w:val="24"/>
          <w:szCs w:val="24"/>
        </w:rPr>
        <w:t>r fiscal years (FY13-FY16).</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White Collar Crime:</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charge</w:t>
      </w:r>
      <w:r>
        <w:rPr>
          <w:rFonts w:ascii="Times New Roman" w:eastAsia="Times New Roman" w:hAnsi="Times New Roman" w:cs="Times New Roman"/>
          <w:sz w:val="24"/>
          <w:szCs w:val="24"/>
        </w:rPr>
        <w:t>d rose 31.7% (FY16/60; FY17/79).</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OCD</w:t>
      </w:r>
      <w:r w:rsidR="00E451EF">
        <w:rPr>
          <w:rFonts w:ascii="Times New Roman" w:eastAsia="Times New Roman" w:hAnsi="Times New Roman" w:cs="Times New Roman"/>
          <w:b/>
          <w:bCs/>
          <w:sz w:val="24"/>
          <w:szCs w:val="24"/>
          <w:u w:val="single"/>
        </w:rPr>
        <w:t>E</w:t>
      </w:r>
      <w:r w:rsidRPr="00FC522A">
        <w:rPr>
          <w:rFonts w:ascii="Times New Roman" w:eastAsia="Times New Roman" w:hAnsi="Times New Roman" w:cs="Times New Roman"/>
          <w:b/>
          <w:bCs/>
          <w:sz w:val="24"/>
          <w:szCs w:val="24"/>
          <w:u w:val="single"/>
        </w:rPr>
        <w:t>TF:</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found guilty rose 63.5% (FY16/52; FY17/85) rose 286% when compared to FY15 (FY15/22; FY17/85);</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 xml:space="preserve">Highest number of Defendants (47) sentenced to 61+ months in prison since FY06. </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lastRenderedPageBreak/>
        <w:t>Non-OCD</w:t>
      </w:r>
      <w:r w:rsidR="00E451EF">
        <w:rPr>
          <w:rFonts w:ascii="Times New Roman" w:eastAsia="Times New Roman" w:hAnsi="Times New Roman" w:cs="Times New Roman"/>
          <w:b/>
          <w:bCs/>
          <w:sz w:val="24"/>
          <w:szCs w:val="24"/>
          <w:u w:val="single"/>
        </w:rPr>
        <w:t>E</w:t>
      </w:r>
      <w:bookmarkStart w:id="0" w:name="_GoBack"/>
      <w:bookmarkEnd w:id="0"/>
      <w:r w:rsidRPr="00FC522A">
        <w:rPr>
          <w:rFonts w:ascii="Times New Roman" w:eastAsia="Times New Roman" w:hAnsi="Times New Roman" w:cs="Times New Roman"/>
          <w:b/>
          <w:bCs/>
          <w:sz w:val="24"/>
          <w:szCs w:val="24"/>
          <w:u w:val="single"/>
        </w:rPr>
        <w:t>TF</w:t>
      </w:r>
      <w:r>
        <w:rPr>
          <w:rStyle w:val="FootnoteReference"/>
          <w:rFonts w:ascii="Times New Roman" w:eastAsia="Times New Roman" w:hAnsi="Times New Roman" w:cs="Times New Roman"/>
          <w:b/>
          <w:bCs/>
          <w:sz w:val="24"/>
          <w:szCs w:val="24"/>
          <w:u w:val="single"/>
        </w:rPr>
        <w:footnoteReference w:id="3"/>
      </w:r>
      <w:r w:rsidRPr="00FC522A">
        <w:rPr>
          <w:rFonts w:ascii="Times New Roman" w:eastAsia="Times New Roman" w:hAnsi="Times New Roman" w:cs="Times New Roman"/>
          <w:b/>
          <w:bCs/>
          <w:sz w:val="24"/>
          <w:szCs w:val="24"/>
          <w:u w:val="single"/>
        </w:rPr>
        <w:t xml:space="preserve"> Drugs:</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charged increased 49.1% (FY16/57; FY17/85), which is the highest increase in Defendants charged (49.1%) since at least FY04</w:t>
      </w:r>
      <w:r w:rsidR="00BF6218">
        <w:rPr>
          <w:rFonts w:ascii="Times New Roman" w:eastAsia="Times New Roman" w:hAnsi="Times New Roman" w:cs="Times New Roman"/>
          <w:sz w:val="24"/>
          <w:szCs w:val="24"/>
        </w:rPr>
        <w:t>.</w:t>
      </w:r>
      <w:r w:rsidRPr="00FC522A">
        <w:rPr>
          <w:rStyle w:val="FootnoteReference"/>
          <w:rFonts w:ascii="Times New Roman" w:eastAsia="Times New Roman" w:hAnsi="Times New Roman" w:cs="Times New Roman"/>
          <w:sz w:val="24"/>
          <w:szCs w:val="24"/>
        </w:rPr>
        <w:footnoteReference w:id="4"/>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Violent Crime:</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 xml:space="preserve">Defendants charged </w:t>
      </w:r>
      <w:r>
        <w:rPr>
          <w:rFonts w:ascii="Times New Roman" w:eastAsia="Times New Roman" w:hAnsi="Times New Roman" w:cs="Times New Roman"/>
          <w:sz w:val="24"/>
          <w:szCs w:val="24"/>
        </w:rPr>
        <w:t>rose 39.8% (FY16/171; FY17/239).</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All Drugs:</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Conviction rate in drug cases was 97.2%, which is the highest conviction rate since at least FY04;</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 xml:space="preserve">Opioid-related defendants </w:t>
      </w:r>
      <w:r w:rsidRPr="00FF58C1">
        <w:rPr>
          <w:rFonts w:ascii="Times New Roman" w:eastAsia="Times New Roman" w:hAnsi="Times New Roman" w:cs="Times New Roman"/>
          <w:sz w:val="24"/>
          <w:szCs w:val="24"/>
        </w:rPr>
        <w:t>charged</w:t>
      </w:r>
      <w:r>
        <w:rPr>
          <w:rFonts w:ascii="Times New Roman" w:eastAsia="Times New Roman" w:hAnsi="Times New Roman" w:cs="Times New Roman"/>
          <w:sz w:val="24"/>
          <w:szCs w:val="24"/>
        </w:rPr>
        <w:t xml:space="preserve"> </w:t>
      </w:r>
      <w:r w:rsidRPr="00FC522A">
        <w:rPr>
          <w:rFonts w:ascii="Times New Roman" w:eastAsia="Times New Roman" w:hAnsi="Times New Roman" w:cs="Times New Roman"/>
          <w:sz w:val="24"/>
          <w:szCs w:val="24"/>
        </w:rPr>
        <w:t>rose 65% (FY16/20; FY17/33).</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Immigration (Criminal):</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charged (50) is the largest number of defendants since at least FY04;</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Defendants charged rose 212.5% (FY16/16; FY17/50).</w:t>
      </w:r>
    </w:p>
    <w:p w:rsidR="00C25C4A" w:rsidRPr="00FC522A" w:rsidRDefault="00C25C4A" w:rsidP="00C25C4A">
      <w:pPr>
        <w:numPr>
          <w:ilvl w:val="0"/>
          <w:numId w:val="15"/>
        </w:numPr>
        <w:spacing w:before="120" w:after="120" w:line="240" w:lineRule="auto"/>
        <w:textAlignment w:val="baseline"/>
        <w:rPr>
          <w:rFonts w:ascii="Noto Sans Symbols" w:eastAsia="Times New Roman" w:hAnsi="Noto Sans Symbols" w:cs="Times New Roman"/>
          <w:b/>
          <w:bCs/>
          <w:sz w:val="20"/>
          <w:szCs w:val="20"/>
          <w:u w:val="single"/>
        </w:rPr>
      </w:pPr>
      <w:r w:rsidRPr="00FC522A">
        <w:rPr>
          <w:rFonts w:ascii="Times New Roman" w:eastAsia="Times New Roman" w:hAnsi="Times New Roman" w:cs="Times New Roman"/>
          <w:b/>
          <w:bCs/>
          <w:sz w:val="24"/>
          <w:szCs w:val="24"/>
          <w:u w:val="single"/>
        </w:rPr>
        <w:t>Civil &amp; Appellate Divisions (Overall)</w:t>
      </w:r>
    </w:p>
    <w:p w:rsidR="00C25C4A" w:rsidRPr="00FC522A" w:rsidRDefault="00C25C4A" w:rsidP="00C25C4A">
      <w:pPr>
        <w:numPr>
          <w:ilvl w:val="1"/>
          <w:numId w:val="15"/>
        </w:numPr>
        <w:spacing w:before="120" w:after="120" w:line="240" w:lineRule="auto"/>
        <w:textAlignment w:val="baseline"/>
        <w:rPr>
          <w:rFonts w:ascii="Noto Sans Symbols" w:eastAsia="Times New Roman" w:hAnsi="Noto Sans Symbols" w:cs="Times New Roman"/>
          <w:sz w:val="20"/>
          <w:szCs w:val="20"/>
        </w:rPr>
      </w:pPr>
      <w:r w:rsidRPr="00FC522A">
        <w:rPr>
          <w:rFonts w:ascii="Times New Roman" w:eastAsia="Times New Roman" w:hAnsi="Times New Roman" w:cs="Times New Roman"/>
          <w:sz w:val="24"/>
          <w:szCs w:val="24"/>
        </w:rPr>
        <w:t>In nearly every category, all judgments</w:t>
      </w:r>
      <w:r w:rsidRPr="00FC522A">
        <w:rPr>
          <w:rStyle w:val="FootnoteReference"/>
          <w:rFonts w:ascii="Times New Roman" w:eastAsia="Times New Roman" w:hAnsi="Times New Roman" w:cs="Times New Roman"/>
          <w:sz w:val="24"/>
          <w:szCs w:val="24"/>
        </w:rPr>
        <w:footnoteReference w:id="5"/>
      </w:r>
      <w:r w:rsidRPr="00FC522A">
        <w:rPr>
          <w:rFonts w:ascii="Times New Roman" w:eastAsia="Times New Roman" w:hAnsi="Times New Roman" w:cs="Times New Roman"/>
          <w:sz w:val="24"/>
          <w:szCs w:val="24"/>
        </w:rPr>
        <w:t xml:space="preserve"> handled by the Civil Division</w:t>
      </w:r>
      <w:r>
        <w:rPr>
          <w:rFonts w:ascii="Times New Roman" w:eastAsia="Times New Roman" w:hAnsi="Times New Roman" w:cs="Times New Roman"/>
          <w:sz w:val="24"/>
          <w:szCs w:val="24"/>
        </w:rPr>
        <w:t>, after fair and impartial considerations, resulted</w:t>
      </w:r>
      <w:r w:rsidRPr="00FC522A">
        <w:rPr>
          <w:rFonts w:ascii="Times New Roman" w:eastAsia="Times New Roman" w:hAnsi="Times New Roman" w:cs="Times New Roman"/>
          <w:sz w:val="24"/>
          <w:szCs w:val="24"/>
        </w:rPr>
        <w:t xml:space="preserve"> in favor of the United States;</w:t>
      </w:r>
    </w:p>
    <w:p w:rsidR="00CF6874" w:rsidRPr="005A65F1" w:rsidRDefault="00C25C4A" w:rsidP="005A65F1">
      <w:pPr>
        <w:pStyle w:val="ListParagraph"/>
        <w:numPr>
          <w:ilvl w:val="1"/>
          <w:numId w:val="15"/>
        </w:numPr>
        <w:spacing w:after="0" w:line="240" w:lineRule="auto"/>
        <w:rPr>
          <w:rFonts w:ascii="Times New Roman" w:hAnsi="Times New Roman" w:cs="Times New Roman"/>
          <w:b/>
          <w:color w:val="222222"/>
          <w:sz w:val="24"/>
          <w:szCs w:val="24"/>
          <w:shd w:val="clear" w:color="auto" w:fill="FFFFFF"/>
        </w:rPr>
      </w:pPr>
      <w:r w:rsidRPr="005A65F1">
        <w:rPr>
          <w:rFonts w:ascii="Times New Roman" w:eastAsia="Times New Roman" w:hAnsi="Times New Roman" w:cs="Times New Roman"/>
          <w:sz w:val="24"/>
          <w:szCs w:val="24"/>
        </w:rPr>
        <w:t>95.4% of all civil and criminal appeals resulted in favor of the United State</w:t>
      </w:r>
      <w:r w:rsidR="00BF6218">
        <w:rPr>
          <w:rFonts w:ascii="Times New Roman" w:eastAsia="Times New Roman" w:hAnsi="Times New Roman" w:cs="Times New Roman"/>
          <w:sz w:val="24"/>
          <w:szCs w:val="24"/>
        </w:rPr>
        <w:t>s.</w:t>
      </w:r>
    </w:p>
    <w:sectPr w:rsidR="00CF6874" w:rsidRPr="005A65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13" w:rsidRDefault="00C76D13" w:rsidP="00C25C4A">
      <w:pPr>
        <w:spacing w:after="0" w:line="240" w:lineRule="auto"/>
      </w:pPr>
      <w:r>
        <w:separator/>
      </w:r>
    </w:p>
  </w:endnote>
  <w:endnote w:type="continuationSeparator" w:id="0">
    <w:p w:rsidR="00C76D13" w:rsidRDefault="00C76D13" w:rsidP="00C2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13" w:rsidRDefault="00C76D13" w:rsidP="00C25C4A">
      <w:pPr>
        <w:spacing w:after="0" w:line="240" w:lineRule="auto"/>
      </w:pPr>
      <w:r>
        <w:separator/>
      </w:r>
    </w:p>
  </w:footnote>
  <w:footnote w:type="continuationSeparator" w:id="0">
    <w:p w:rsidR="00C76D13" w:rsidRDefault="00C76D13" w:rsidP="00C25C4A">
      <w:pPr>
        <w:spacing w:after="0" w:line="240" w:lineRule="auto"/>
      </w:pPr>
      <w:r>
        <w:continuationSeparator/>
      </w:r>
    </w:p>
  </w:footnote>
  <w:footnote w:id="1">
    <w:p w:rsidR="00C25C4A" w:rsidRPr="00AF3D5E" w:rsidRDefault="00C25C4A" w:rsidP="00C25C4A">
      <w:pPr>
        <w:pStyle w:val="FootnoteText"/>
        <w:spacing w:after="120"/>
        <w:rPr>
          <w:rFonts w:ascii="Times New Roman" w:hAnsi="Times New Roman" w:cs="Times New Roman"/>
        </w:rPr>
      </w:pPr>
      <w:r>
        <w:rPr>
          <w:rStyle w:val="FootnoteReference"/>
        </w:rPr>
        <w:footnoteRef/>
      </w:r>
      <w:r>
        <w:t xml:space="preserve"> </w:t>
      </w:r>
      <w:r w:rsidRPr="00AF3D5E">
        <w:rPr>
          <w:rFonts w:ascii="Times New Roman" w:hAnsi="Times New Roman" w:cs="Times New Roman"/>
        </w:rPr>
        <w:t xml:space="preserve">The term “charged” or “charge” is a general term and </w:t>
      </w:r>
      <w:proofErr w:type="gramStart"/>
      <w:r w:rsidRPr="00AF3D5E">
        <w:rPr>
          <w:rFonts w:ascii="Times New Roman" w:hAnsi="Times New Roman" w:cs="Times New Roman"/>
        </w:rPr>
        <w:t>is substituted</w:t>
      </w:r>
      <w:proofErr w:type="gramEnd"/>
      <w:r w:rsidRPr="00AF3D5E">
        <w:rPr>
          <w:rFonts w:ascii="Times New Roman" w:hAnsi="Times New Roman" w:cs="Times New Roman"/>
        </w:rPr>
        <w:t xml:space="preserve"> in the </w:t>
      </w:r>
      <w:r w:rsidR="00BF6218">
        <w:rPr>
          <w:rFonts w:ascii="Times New Roman" w:hAnsi="Times New Roman" w:cs="Times New Roman"/>
        </w:rPr>
        <w:t>DOJ</w:t>
      </w:r>
      <w:r w:rsidRPr="00AF3D5E">
        <w:rPr>
          <w:rFonts w:ascii="Times New Roman" w:hAnsi="Times New Roman" w:cs="Times New Roman"/>
        </w:rPr>
        <w:t xml:space="preserve"> reports as “filed”, without any difference.  </w:t>
      </w:r>
      <w:proofErr w:type="gramStart"/>
      <w:r w:rsidRPr="00AF3D5E">
        <w:rPr>
          <w:rFonts w:ascii="Times New Roman" w:hAnsi="Times New Roman" w:cs="Times New Roman"/>
        </w:rPr>
        <w:t>Also</w:t>
      </w:r>
      <w:proofErr w:type="gramEnd"/>
      <w:r w:rsidRPr="00AF3D5E">
        <w:rPr>
          <w:rFonts w:ascii="Times New Roman" w:hAnsi="Times New Roman" w:cs="Times New Roman"/>
        </w:rPr>
        <w:t xml:space="preserve">, the general term “charge”, as used in this context, includes both indictments and </w:t>
      </w:r>
      <w:proofErr w:type="spellStart"/>
      <w:r w:rsidRPr="00AF3D5E">
        <w:rPr>
          <w:rFonts w:ascii="Times New Roman" w:hAnsi="Times New Roman" w:cs="Times New Roman"/>
        </w:rPr>
        <w:t>informations</w:t>
      </w:r>
      <w:proofErr w:type="spellEnd"/>
      <w:r w:rsidRPr="00AF3D5E">
        <w:rPr>
          <w:rFonts w:ascii="Times New Roman" w:hAnsi="Times New Roman" w:cs="Times New Roman"/>
        </w:rPr>
        <w:t xml:space="preserve"> as charging instruments.</w:t>
      </w:r>
    </w:p>
  </w:footnote>
  <w:footnote w:id="2">
    <w:p w:rsidR="00C25C4A" w:rsidRPr="00FF58C1" w:rsidRDefault="00C25C4A" w:rsidP="00C25C4A">
      <w:pPr>
        <w:pStyle w:val="FootnoteText"/>
        <w:spacing w:after="120"/>
        <w:rPr>
          <w:rFonts w:ascii="Times New Roman" w:hAnsi="Times New Roman" w:cs="Times New Roman"/>
        </w:rPr>
      </w:pPr>
      <w:r w:rsidRPr="00AF3D5E">
        <w:rPr>
          <w:rStyle w:val="FootnoteReference"/>
          <w:rFonts w:ascii="Times New Roman" w:hAnsi="Times New Roman" w:cs="Times New Roman"/>
        </w:rPr>
        <w:footnoteRef/>
      </w:r>
      <w:r w:rsidRPr="00AF3D5E">
        <w:rPr>
          <w:rFonts w:ascii="Times New Roman" w:hAnsi="Times New Roman" w:cs="Times New Roman"/>
        </w:rPr>
        <w:t xml:space="preserve"> These </w:t>
      </w:r>
      <w:r w:rsidRPr="00FF58C1">
        <w:rPr>
          <w:rFonts w:ascii="Times New Roman" w:hAnsi="Times New Roman" w:cs="Times New Roman"/>
        </w:rPr>
        <w:t xml:space="preserve">are cases prosecuted under 18 USC 922 and 924, </w:t>
      </w:r>
      <w:r w:rsidRPr="00BF6218">
        <w:rPr>
          <w:rFonts w:ascii="Times New Roman" w:hAnsi="Times New Roman" w:cs="Times New Roman"/>
          <w:i/>
        </w:rPr>
        <w:t>et seq</w:t>
      </w:r>
      <w:r w:rsidRPr="00FF58C1">
        <w:rPr>
          <w:rFonts w:ascii="Times New Roman" w:hAnsi="Times New Roman" w:cs="Times New Roman"/>
        </w:rPr>
        <w:t>.</w:t>
      </w:r>
    </w:p>
  </w:footnote>
  <w:footnote w:id="3">
    <w:p w:rsidR="00C25C4A" w:rsidRPr="00FF58C1" w:rsidRDefault="00C25C4A" w:rsidP="00C25C4A">
      <w:pPr>
        <w:rPr>
          <w:rFonts w:ascii="Times New Roman" w:hAnsi="Times New Roman" w:cs="Times New Roman"/>
          <w:sz w:val="20"/>
          <w:szCs w:val="20"/>
        </w:rPr>
      </w:pPr>
      <w:r w:rsidRPr="00FF58C1">
        <w:rPr>
          <w:rStyle w:val="FootnoteReference"/>
          <w:rFonts w:ascii="Times New Roman" w:hAnsi="Times New Roman" w:cs="Times New Roman"/>
          <w:sz w:val="20"/>
          <w:szCs w:val="20"/>
        </w:rPr>
        <w:footnoteRef/>
      </w:r>
      <w:r w:rsidRPr="00FF58C1">
        <w:rPr>
          <w:rFonts w:ascii="Times New Roman" w:hAnsi="Times New Roman" w:cs="Times New Roman"/>
          <w:sz w:val="20"/>
          <w:szCs w:val="20"/>
        </w:rPr>
        <w:t xml:space="preserve"> </w:t>
      </w:r>
      <w:r w:rsidRPr="00FF58C1">
        <w:rPr>
          <w:rFonts w:ascii="Times New Roman" w:hAnsi="Times New Roman" w:cs="Times New Roman"/>
          <w:sz w:val="20"/>
          <w:szCs w:val="20"/>
          <w:lang w:val="en"/>
        </w:rPr>
        <w:t xml:space="preserve">The OCDETF Program </w:t>
      </w:r>
      <w:r>
        <w:rPr>
          <w:rFonts w:ascii="Times New Roman" w:hAnsi="Times New Roman" w:cs="Times New Roman"/>
          <w:sz w:val="20"/>
          <w:szCs w:val="20"/>
          <w:lang w:val="en"/>
        </w:rPr>
        <w:t>(</w:t>
      </w:r>
      <w:r w:rsidRPr="00FF58C1">
        <w:rPr>
          <w:rFonts w:ascii="Times New Roman" w:hAnsi="Times New Roman" w:cs="Times New Roman"/>
          <w:sz w:val="20"/>
          <w:szCs w:val="20"/>
          <w:u w:val="single"/>
          <w:lang w:val="en"/>
        </w:rPr>
        <w:t>O</w:t>
      </w:r>
      <w:r>
        <w:rPr>
          <w:rFonts w:ascii="Times New Roman" w:hAnsi="Times New Roman" w:cs="Times New Roman"/>
          <w:sz w:val="20"/>
          <w:szCs w:val="20"/>
          <w:lang w:val="en"/>
        </w:rPr>
        <w:t xml:space="preserve">rganized </w:t>
      </w:r>
      <w:r w:rsidRPr="00FF58C1">
        <w:rPr>
          <w:rFonts w:ascii="Times New Roman" w:hAnsi="Times New Roman" w:cs="Times New Roman"/>
          <w:sz w:val="20"/>
          <w:szCs w:val="20"/>
          <w:u w:val="single"/>
          <w:lang w:val="en"/>
        </w:rPr>
        <w:t>C</w:t>
      </w:r>
      <w:r>
        <w:rPr>
          <w:rFonts w:ascii="Times New Roman" w:hAnsi="Times New Roman" w:cs="Times New Roman"/>
          <w:sz w:val="20"/>
          <w:szCs w:val="20"/>
          <w:lang w:val="en"/>
        </w:rPr>
        <w:t xml:space="preserve">rime </w:t>
      </w:r>
      <w:r w:rsidRPr="00FF58C1">
        <w:rPr>
          <w:rFonts w:ascii="Times New Roman" w:hAnsi="Times New Roman" w:cs="Times New Roman"/>
          <w:sz w:val="20"/>
          <w:szCs w:val="20"/>
          <w:u w:val="single"/>
          <w:lang w:val="en"/>
        </w:rPr>
        <w:t>D</w:t>
      </w:r>
      <w:r>
        <w:rPr>
          <w:rFonts w:ascii="Times New Roman" w:hAnsi="Times New Roman" w:cs="Times New Roman"/>
          <w:sz w:val="20"/>
          <w:szCs w:val="20"/>
          <w:lang w:val="en"/>
        </w:rPr>
        <w:t xml:space="preserve">rug </w:t>
      </w:r>
      <w:r w:rsidRPr="00FF58C1">
        <w:rPr>
          <w:rFonts w:ascii="Times New Roman" w:hAnsi="Times New Roman" w:cs="Times New Roman"/>
          <w:sz w:val="20"/>
          <w:szCs w:val="20"/>
          <w:u w:val="single"/>
          <w:lang w:val="en"/>
        </w:rPr>
        <w:t>E</w:t>
      </w:r>
      <w:r>
        <w:rPr>
          <w:rFonts w:ascii="Times New Roman" w:hAnsi="Times New Roman" w:cs="Times New Roman"/>
          <w:sz w:val="20"/>
          <w:szCs w:val="20"/>
          <w:lang w:val="en"/>
        </w:rPr>
        <w:t xml:space="preserve">nforcement </w:t>
      </w:r>
      <w:r w:rsidRPr="00FF58C1">
        <w:rPr>
          <w:rFonts w:ascii="Times New Roman" w:hAnsi="Times New Roman" w:cs="Times New Roman"/>
          <w:sz w:val="20"/>
          <w:szCs w:val="20"/>
          <w:u w:val="single"/>
          <w:lang w:val="en"/>
        </w:rPr>
        <w:t>T</w:t>
      </w:r>
      <w:r>
        <w:rPr>
          <w:rFonts w:ascii="Times New Roman" w:hAnsi="Times New Roman" w:cs="Times New Roman"/>
          <w:sz w:val="20"/>
          <w:szCs w:val="20"/>
          <w:lang w:val="en"/>
        </w:rPr>
        <w:t xml:space="preserve">ask </w:t>
      </w:r>
      <w:r w:rsidRPr="00FF58C1">
        <w:rPr>
          <w:rFonts w:ascii="Times New Roman" w:hAnsi="Times New Roman" w:cs="Times New Roman"/>
          <w:sz w:val="20"/>
          <w:szCs w:val="20"/>
          <w:u w:val="single"/>
          <w:lang w:val="en"/>
        </w:rPr>
        <w:t>F</w:t>
      </w:r>
      <w:r>
        <w:rPr>
          <w:rFonts w:ascii="Times New Roman" w:hAnsi="Times New Roman" w:cs="Times New Roman"/>
          <w:sz w:val="20"/>
          <w:szCs w:val="20"/>
          <w:lang w:val="en"/>
        </w:rPr>
        <w:t xml:space="preserve">orce) </w:t>
      </w:r>
      <w:r w:rsidRPr="00FF58C1">
        <w:rPr>
          <w:rFonts w:ascii="Times New Roman" w:hAnsi="Times New Roman" w:cs="Times New Roman"/>
          <w:sz w:val="20"/>
          <w:szCs w:val="20"/>
          <w:lang w:val="en"/>
        </w:rPr>
        <w:t>is the centerpiece of the United States Attorney General's drug strategy to reduce the availability of drugs by disrupting and dismantling major drug trafficking organizations and money laundering organizations and related criminal enterprises.</w:t>
      </w:r>
    </w:p>
  </w:footnote>
  <w:footnote w:id="4">
    <w:p w:rsidR="00C25C4A" w:rsidRPr="00AF3D5E" w:rsidRDefault="00C25C4A" w:rsidP="00C25C4A">
      <w:pPr>
        <w:pStyle w:val="FootnoteText"/>
        <w:spacing w:after="120"/>
        <w:rPr>
          <w:rFonts w:ascii="Times New Roman" w:hAnsi="Times New Roman" w:cs="Times New Roman"/>
        </w:rPr>
      </w:pPr>
      <w:r w:rsidRPr="00FF58C1">
        <w:rPr>
          <w:rStyle w:val="FootnoteReference"/>
          <w:rFonts w:ascii="Times New Roman" w:hAnsi="Times New Roman" w:cs="Times New Roman"/>
        </w:rPr>
        <w:footnoteRef/>
      </w:r>
      <w:r w:rsidRPr="00FF58C1">
        <w:rPr>
          <w:rFonts w:ascii="Times New Roman" w:hAnsi="Times New Roman" w:cs="Times New Roman"/>
        </w:rPr>
        <w:t xml:space="preserve"> Due to recent software</w:t>
      </w:r>
      <w:r w:rsidRPr="00AF3D5E">
        <w:rPr>
          <w:rFonts w:ascii="Times New Roman" w:hAnsi="Times New Roman" w:cs="Times New Roman"/>
        </w:rPr>
        <w:t xml:space="preserve"> changes, coupled with differences in scoring techniques, the information provided by EOUSA only dates back to 2004.  The information prior to 2004 is most certainly available in archives but not readily available for the purposes of this report and thus excluded from calculation.</w:t>
      </w:r>
    </w:p>
  </w:footnote>
  <w:footnote w:id="5">
    <w:p w:rsidR="00C25C4A" w:rsidRPr="00AF3D5E" w:rsidRDefault="00C25C4A" w:rsidP="00C25C4A">
      <w:pPr>
        <w:pStyle w:val="FootnoteText"/>
        <w:spacing w:after="120"/>
        <w:rPr>
          <w:rFonts w:ascii="Times New Roman" w:hAnsi="Times New Roman" w:cs="Times New Roman"/>
        </w:rPr>
      </w:pPr>
      <w:r w:rsidRPr="00AF3D5E">
        <w:rPr>
          <w:rStyle w:val="FootnoteReference"/>
          <w:rFonts w:ascii="Times New Roman" w:hAnsi="Times New Roman" w:cs="Times New Roman"/>
        </w:rPr>
        <w:footnoteRef/>
      </w:r>
      <w:r w:rsidRPr="00AF3D5E">
        <w:rPr>
          <w:rFonts w:ascii="Times New Roman" w:hAnsi="Times New Roman" w:cs="Times New Roman"/>
        </w:rPr>
        <w:t xml:space="preserve"> The term “judgments”, as used in this context, does not refer to settlements of various claims (</w:t>
      </w:r>
      <w:r w:rsidR="00BF6218">
        <w:rPr>
          <w:rFonts w:ascii="Times New Roman" w:hAnsi="Times New Roman" w:cs="Times New Roman"/>
        </w:rPr>
        <w:t>e.g.,</w:t>
      </w:r>
      <w:r w:rsidRPr="00AF3D5E">
        <w:rPr>
          <w:rFonts w:ascii="Times New Roman" w:hAnsi="Times New Roman" w:cs="Times New Roman"/>
        </w:rPr>
        <w:t xml:space="preserve"> torts).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8F9"/>
    <w:multiLevelType w:val="hybridMultilevel"/>
    <w:tmpl w:val="BF92DC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45F64"/>
    <w:multiLevelType w:val="multilevel"/>
    <w:tmpl w:val="918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F59EC"/>
    <w:multiLevelType w:val="hybridMultilevel"/>
    <w:tmpl w:val="1AFA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B7BE3"/>
    <w:multiLevelType w:val="hybridMultilevel"/>
    <w:tmpl w:val="AB767818"/>
    <w:lvl w:ilvl="0" w:tplc="73BE9A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6048EE"/>
    <w:multiLevelType w:val="multilevel"/>
    <w:tmpl w:val="0D0E2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152E5"/>
    <w:multiLevelType w:val="hybridMultilevel"/>
    <w:tmpl w:val="55AC10A4"/>
    <w:lvl w:ilvl="0" w:tplc="52282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E30C1"/>
    <w:multiLevelType w:val="hybridMultilevel"/>
    <w:tmpl w:val="AE406F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E201B"/>
    <w:multiLevelType w:val="hybridMultilevel"/>
    <w:tmpl w:val="DDBE8090"/>
    <w:lvl w:ilvl="0" w:tplc="EF9E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438B1"/>
    <w:multiLevelType w:val="hybridMultilevel"/>
    <w:tmpl w:val="E5FEC6D6"/>
    <w:lvl w:ilvl="0" w:tplc="6F4E75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ED4D14"/>
    <w:multiLevelType w:val="hybridMultilevel"/>
    <w:tmpl w:val="10DAED36"/>
    <w:lvl w:ilvl="0" w:tplc="AEB85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BE183D"/>
    <w:multiLevelType w:val="hybridMultilevel"/>
    <w:tmpl w:val="735E4CB2"/>
    <w:lvl w:ilvl="0" w:tplc="D1449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B73B8C"/>
    <w:multiLevelType w:val="multilevel"/>
    <w:tmpl w:val="3814E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07B14"/>
    <w:multiLevelType w:val="multilevel"/>
    <w:tmpl w:val="094AC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1">
      <w:lvl w:ilvl="1">
        <w:numFmt w:val="bullet"/>
        <w:lvlText w:val=""/>
        <w:lvlJc w:val="left"/>
        <w:pPr>
          <w:tabs>
            <w:tab w:val="num" w:pos="1440"/>
          </w:tabs>
          <w:ind w:left="1440" w:hanging="360"/>
        </w:pPr>
        <w:rPr>
          <w:rFonts w:ascii="Symbol" w:hAnsi="Symbol" w:hint="default"/>
          <w:sz w:val="20"/>
        </w:rPr>
      </w:lvl>
    </w:lvlOverride>
  </w:num>
  <w:num w:numId="3">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num>
  <w:num w:numId="5">
    <w:abstractNumId w:val="6"/>
  </w:num>
  <w:num w:numId="6">
    <w:abstractNumId w:val="10"/>
  </w:num>
  <w:num w:numId="7">
    <w:abstractNumId w:val="5"/>
  </w:num>
  <w:num w:numId="8">
    <w:abstractNumId w:val="9"/>
  </w:num>
  <w:num w:numId="9">
    <w:abstractNumId w:val="0"/>
  </w:num>
  <w:num w:numId="10">
    <w:abstractNumId w:val="8"/>
  </w:num>
  <w:num w:numId="11">
    <w:abstractNumId w:val="7"/>
  </w:num>
  <w:num w:numId="12">
    <w:abstractNumId w:val="3"/>
  </w:num>
  <w:num w:numId="13">
    <w:abstractNumId w:val="1"/>
  </w:num>
  <w:num w:numId="14">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abstractNumId w:val="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05"/>
    <w:rsid w:val="00030293"/>
    <w:rsid w:val="000711ED"/>
    <w:rsid w:val="00080DC2"/>
    <w:rsid w:val="0008185E"/>
    <w:rsid w:val="000A5356"/>
    <w:rsid w:val="000D44C7"/>
    <w:rsid w:val="000D76B4"/>
    <w:rsid w:val="00115E54"/>
    <w:rsid w:val="0013297B"/>
    <w:rsid w:val="00164137"/>
    <w:rsid w:val="00193EEB"/>
    <w:rsid w:val="00200A36"/>
    <w:rsid w:val="0021382C"/>
    <w:rsid w:val="00235F84"/>
    <w:rsid w:val="00257062"/>
    <w:rsid w:val="00295F05"/>
    <w:rsid w:val="00296FB6"/>
    <w:rsid w:val="002C655F"/>
    <w:rsid w:val="002C7C1E"/>
    <w:rsid w:val="00305DCA"/>
    <w:rsid w:val="00330797"/>
    <w:rsid w:val="00334A9C"/>
    <w:rsid w:val="0040002A"/>
    <w:rsid w:val="00412F16"/>
    <w:rsid w:val="00424D23"/>
    <w:rsid w:val="00453CD1"/>
    <w:rsid w:val="004F4767"/>
    <w:rsid w:val="0052529B"/>
    <w:rsid w:val="005462C8"/>
    <w:rsid w:val="00580A0B"/>
    <w:rsid w:val="005A65F1"/>
    <w:rsid w:val="005B6D8B"/>
    <w:rsid w:val="00606B69"/>
    <w:rsid w:val="0062205B"/>
    <w:rsid w:val="0066465D"/>
    <w:rsid w:val="0066749A"/>
    <w:rsid w:val="006E7347"/>
    <w:rsid w:val="00775B13"/>
    <w:rsid w:val="00780345"/>
    <w:rsid w:val="00812345"/>
    <w:rsid w:val="00841685"/>
    <w:rsid w:val="008518F0"/>
    <w:rsid w:val="00860AF6"/>
    <w:rsid w:val="008A4616"/>
    <w:rsid w:val="008B433C"/>
    <w:rsid w:val="008E5015"/>
    <w:rsid w:val="00915126"/>
    <w:rsid w:val="009246C3"/>
    <w:rsid w:val="009D4DFC"/>
    <w:rsid w:val="009F592A"/>
    <w:rsid w:val="00A149A5"/>
    <w:rsid w:val="00AB02F2"/>
    <w:rsid w:val="00B41FB5"/>
    <w:rsid w:val="00B82788"/>
    <w:rsid w:val="00BB5AD3"/>
    <w:rsid w:val="00BF6218"/>
    <w:rsid w:val="00C153D4"/>
    <w:rsid w:val="00C25C4A"/>
    <w:rsid w:val="00C76D13"/>
    <w:rsid w:val="00CA43B2"/>
    <w:rsid w:val="00CF6874"/>
    <w:rsid w:val="00CF7E69"/>
    <w:rsid w:val="00D8424E"/>
    <w:rsid w:val="00D87FB0"/>
    <w:rsid w:val="00E039A4"/>
    <w:rsid w:val="00E451EF"/>
    <w:rsid w:val="00EB2034"/>
    <w:rsid w:val="00EF40D5"/>
    <w:rsid w:val="00F01396"/>
    <w:rsid w:val="00F21FBA"/>
    <w:rsid w:val="00F22FFD"/>
    <w:rsid w:val="00F60FBF"/>
    <w:rsid w:val="00FD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2E0"/>
  <w15:chartTrackingRefBased/>
  <w15:docId w15:val="{CE278833-F5CC-4B27-B191-708F5286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44C7"/>
  </w:style>
  <w:style w:type="character" w:customStyle="1" w:styleId="aqj">
    <w:name w:val="aqj"/>
    <w:basedOn w:val="DefaultParagraphFont"/>
    <w:rsid w:val="000D44C7"/>
  </w:style>
  <w:style w:type="paragraph" w:styleId="BalloonText">
    <w:name w:val="Balloon Text"/>
    <w:basedOn w:val="Normal"/>
    <w:link w:val="BalloonTextChar"/>
    <w:uiPriority w:val="99"/>
    <w:semiHidden/>
    <w:unhideWhenUsed/>
    <w:rsid w:val="00132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7B"/>
    <w:rPr>
      <w:rFonts w:ascii="Segoe UI" w:hAnsi="Segoe UI" w:cs="Segoe UI"/>
      <w:sz w:val="18"/>
      <w:szCs w:val="18"/>
    </w:rPr>
  </w:style>
  <w:style w:type="paragraph" w:styleId="ListParagraph">
    <w:name w:val="List Paragraph"/>
    <w:basedOn w:val="Normal"/>
    <w:uiPriority w:val="34"/>
    <w:qFormat/>
    <w:rsid w:val="00775B13"/>
    <w:pPr>
      <w:ind w:left="720"/>
      <w:contextualSpacing/>
    </w:pPr>
  </w:style>
  <w:style w:type="paragraph" w:styleId="FootnoteText">
    <w:name w:val="footnote text"/>
    <w:basedOn w:val="Normal"/>
    <w:link w:val="FootnoteTextChar"/>
    <w:uiPriority w:val="99"/>
    <w:semiHidden/>
    <w:unhideWhenUsed/>
    <w:rsid w:val="00C25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C4A"/>
    <w:rPr>
      <w:sz w:val="20"/>
      <w:szCs w:val="20"/>
    </w:rPr>
  </w:style>
  <w:style w:type="character" w:styleId="FootnoteReference">
    <w:name w:val="footnote reference"/>
    <w:basedOn w:val="DefaultParagraphFont"/>
    <w:uiPriority w:val="99"/>
    <w:semiHidden/>
    <w:unhideWhenUsed/>
    <w:rsid w:val="00C25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8810">
      <w:bodyDiv w:val="1"/>
      <w:marLeft w:val="0"/>
      <w:marRight w:val="0"/>
      <w:marTop w:val="0"/>
      <w:marBottom w:val="0"/>
      <w:divBdr>
        <w:top w:val="none" w:sz="0" w:space="0" w:color="auto"/>
        <w:left w:val="none" w:sz="0" w:space="0" w:color="auto"/>
        <w:bottom w:val="none" w:sz="0" w:space="0" w:color="auto"/>
        <w:right w:val="none" w:sz="0" w:space="0" w:color="auto"/>
      </w:divBdr>
      <w:divsChild>
        <w:div w:id="194703948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dc:creator>
  <cp:keywords/>
  <dc:description/>
  <cp:lastModifiedBy>Sanford, Peggy (USAALN)</cp:lastModifiedBy>
  <cp:revision>5</cp:revision>
  <cp:lastPrinted>2018-01-10T15:51:00Z</cp:lastPrinted>
  <dcterms:created xsi:type="dcterms:W3CDTF">2018-01-10T17:15:00Z</dcterms:created>
  <dcterms:modified xsi:type="dcterms:W3CDTF">2018-01-10T20:04:00Z</dcterms:modified>
</cp:coreProperties>
</file>