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89" w:rsidRDefault="00C85A89"/>
    <w:p w:rsidR="00C85A89" w:rsidRDefault="00C85A89"/>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r>
        <w:rPr>
          <w:sz w:val="22"/>
          <w:szCs w:val="22"/>
        </w:rPr>
        <w:tab/>
      </w: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rPr>
          <w:sz w:val="22"/>
          <w:szCs w:val="22"/>
        </w:rPr>
      </w:pPr>
    </w:p>
    <w:p w:rsidR="00C85A89" w:rsidRDefault="00C85A89" w:rsidP="009F5554">
      <w:pPr>
        <w:numPr>
          <w:ilvl w:val="12"/>
          <w:numId w:val="0"/>
        </w:numPr>
        <w:jc w:val="center"/>
        <w:rPr>
          <w:sz w:val="22"/>
          <w:szCs w:val="22"/>
        </w:rPr>
      </w:pPr>
      <w:r>
        <w:rPr>
          <w:b/>
          <w:bCs/>
          <w:sz w:val="48"/>
          <w:szCs w:val="48"/>
        </w:rPr>
        <w:t>SAMPLE CHAPTER 7 CASE</w:t>
      </w:r>
      <w:r w:rsidR="00F80A24">
        <w:rPr>
          <w:b/>
          <w:bCs/>
          <w:sz w:val="48"/>
          <w:szCs w:val="48"/>
        </w:rPr>
        <w:t>S</w:t>
      </w:r>
      <w:r>
        <w:rPr>
          <w:b/>
          <w:bCs/>
          <w:sz w:val="48"/>
          <w:szCs w:val="48"/>
        </w:rPr>
        <w:t xml:space="preserve"> AND ILLUSTRATIVE FORMS 1, 2, AND 3</w:t>
      </w:r>
      <w:r>
        <w:rPr>
          <w:sz w:val="48"/>
          <w:szCs w:val="48"/>
        </w:rPr>
        <w:t xml:space="preserve"> </w:t>
      </w:r>
    </w:p>
    <w:p w:rsidR="00C85A89" w:rsidRDefault="00C85A89" w:rsidP="009F5554">
      <w:pPr>
        <w:numPr>
          <w:ilvl w:val="12"/>
          <w:numId w:val="0"/>
        </w:numPr>
        <w:jc w:val="center"/>
        <w:rPr>
          <w:sz w:val="22"/>
          <w:szCs w:val="22"/>
        </w:rPr>
        <w:sectPr w:rsidR="00C85A89">
          <w:footerReference w:type="first" r:id="rId9"/>
          <w:type w:val="continuous"/>
          <w:pgSz w:w="12240" w:h="15840"/>
          <w:pgMar w:top="990" w:right="1440" w:bottom="720" w:left="1440" w:header="1440" w:footer="720" w:gutter="0"/>
          <w:cols w:space="720"/>
          <w:noEndnote/>
        </w:sectPr>
      </w:pPr>
      <w:r>
        <w:rPr>
          <w:sz w:val="22"/>
          <w:szCs w:val="22"/>
        </w:rPr>
        <w:br w:type="page"/>
      </w:r>
    </w:p>
    <w:p w:rsidR="00F53B9A" w:rsidRDefault="00F53B9A" w:rsidP="00F53B9A">
      <w:pPr>
        <w:jc w:val="center"/>
        <w:rPr>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SAMPLE CHAPTER 7 </w:t>
      </w:r>
      <w:r w:rsidRPr="005D4E75">
        <w:rPr>
          <w:b/>
          <w:bCs/>
          <w:sz w:val="24"/>
          <w:szCs w:val="24"/>
        </w:rPr>
        <w:t xml:space="preserve">CASE #1 AND </w:t>
      </w:r>
      <w:r>
        <w:rPr>
          <w:b/>
          <w:bCs/>
          <w:sz w:val="24"/>
          <w:szCs w:val="24"/>
        </w:rPr>
        <w:t>ILLUSTRATIVE FORMS 1, 2 AND 3</w:t>
      </w:r>
    </w:p>
    <w:p w:rsidR="00F53B9A" w:rsidRDefault="00F53B9A" w:rsidP="00F53B9A">
      <w:pPr>
        <w:rPr>
          <w:sz w:val="24"/>
          <w:szCs w:val="24"/>
        </w:rPr>
      </w:pPr>
    </w:p>
    <w:p w:rsidR="00F53B9A" w:rsidRDefault="00F53B9A" w:rsidP="00F53B9A">
      <w:pPr>
        <w:rPr>
          <w:sz w:val="24"/>
          <w:szCs w:val="24"/>
        </w:rPr>
      </w:pPr>
    </w:p>
    <w:p w:rsidR="00F53B9A" w:rsidRDefault="00F53B9A" w:rsidP="00F53B9A">
      <w:pPr>
        <w:rPr>
          <w:sz w:val="24"/>
          <w:szCs w:val="24"/>
        </w:rPr>
      </w:pPr>
      <w:r>
        <w:rPr>
          <w:sz w:val="24"/>
          <w:szCs w:val="24"/>
        </w:rPr>
        <w:t xml:space="preserve">Sam Martin, </w:t>
      </w:r>
      <w:proofErr w:type="spellStart"/>
      <w:r>
        <w:rPr>
          <w:sz w:val="24"/>
          <w:szCs w:val="24"/>
        </w:rPr>
        <w:t>dba</w:t>
      </w:r>
      <w:proofErr w:type="spellEnd"/>
      <w:r>
        <w:rPr>
          <w:sz w:val="24"/>
          <w:szCs w:val="24"/>
        </w:rPr>
        <w:t xml:space="preserve"> Martin Cards (“Debtor”), filed bankruptcy on November 20, 2002, in a non-community property state and Jenny Ward (“Ward”) was appointed the chapter 7 trustee.  Ward’s interim report is filed annually as of June 30, 2003.  Ward submitted the attached Forms 1 and 2 showing the activity in the case from November 20, 2002, through June 30, 2003.  </w:t>
      </w:r>
    </w:p>
    <w:p w:rsidR="00F53B9A" w:rsidRDefault="00F53B9A" w:rsidP="00F53B9A">
      <w:pPr>
        <w:rPr>
          <w:sz w:val="24"/>
          <w:szCs w:val="24"/>
        </w:rPr>
      </w:pPr>
    </w:p>
    <w:p w:rsidR="00F53B9A" w:rsidRDefault="00F53B9A" w:rsidP="00F53B9A">
      <w:pPr>
        <w:rPr>
          <w:sz w:val="24"/>
          <w:szCs w:val="24"/>
        </w:rPr>
      </w:pPr>
      <w:r>
        <w:rPr>
          <w:sz w:val="24"/>
          <w:szCs w:val="24"/>
        </w:rPr>
        <w:t>Ward obtained the following information regarding Debtor’s assets from an analysis of: (1) the petition, schedules and statement of financial affairs filed by Debtor; (2) Debtor’s testimony at the § 341(a) meeting held on December 20, 2002, and (3) the information received from creditors and other parties-in-interest.  Debtor has not amended the schedules and statements originally filed on November 20, 2002.</w:t>
      </w:r>
    </w:p>
    <w:p w:rsidR="00F53B9A" w:rsidRDefault="00F53B9A" w:rsidP="00F53B9A">
      <w:pPr>
        <w:rPr>
          <w:sz w:val="24"/>
          <w:szCs w:val="24"/>
        </w:rPr>
      </w:pPr>
    </w:p>
    <w:p w:rsidR="00F53B9A" w:rsidRDefault="00F53B9A" w:rsidP="00F53B9A">
      <w:pPr>
        <w:rPr>
          <w:sz w:val="24"/>
          <w:szCs w:val="24"/>
        </w:rPr>
      </w:pPr>
      <w:r>
        <w:rPr>
          <w:b/>
          <w:bCs/>
          <w:sz w:val="24"/>
          <w:szCs w:val="24"/>
          <w:u w:val="single"/>
        </w:rPr>
        <w:t>Checking Account (Asset #1)</w:t>
      </w:r>
      <w:r>
        <w:rPr>
          <w:sz w:val="24"/>
          <w:szCs w:val="24"/>
        </w:rPr>
        <w:t xml:space="preserve"> </w:t>
      </w:r>
      <w:proofErr w:type="gramStart"/>
      <w:r>
        <w:rPr>
          <w:sz w:val="24"/>
          <w:szCs w:val="24"/>
        </w:rPr>
        <w:t>-  Debtor</w:t>
      </w:r>
      <w:proofErr w:type="gramEnd"/>
      <w:r>
        <w:rPr>
          <w:sz w:val="24"/>
          <w:szCs w:val="24"/>
        </w:rPr>
        <w:t xml:space="preserve"> listed a checking account balance of $500 in Schedule B.  Cash is not exempt in the state in which Debtor filed bankruptcy.  Ward recovers the $500 on December 10, 2002.  Ward then promptly obtains a federal tax identification number, opens an estate money market account, and deposits the $500 into the account.  Ward records this initial deposit on Form 2 using Uniform Transaction Code (UTC) 1129-000, Liquidation of Other Schedule B Property.</w:t>
      </w:r>
    </w:p>
    <w:p w:rsidR="00F53B9A" w:rsidRDefault="00F53B9A" w:rsidP="00F53B9A">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rsidR="00F53B9A" w:rsidRDefault="00F53B9A" w:rsidP="00F53B9A">
      <w:pPr>
        <w:rPr>
          <w:sz w:val="24"/>
          <w:szCs w:val="24"/>
        </w:rPr>
      </w:pPr>
      <w:r>
        <w:rPr>
          <w:b/>
          <w:bCs/>
          <w:sz w:val="24"/>
          <w:szCs w:val="24"/>
          <w:u w:val="single"/>
        </w:rPr>
        <w:t xml:space="preserve">123 Ocean View – Rental Property (Asset #2) and Ocean View Rent Receivable (Asset #8) </w:t>
      </w:r>
      <w:proofErr w:type="gramStart"/>
      <w:r>
        <w:rPr>
          <w:sz w:val="24"/>
          <w:szCs w:val="24"/>
        </w:rPr>
        <w:t>-  Debtor</w:t>
      </w:r>
      <w:proofErr w:type="gramEnd"/>
      <w:r>
        <w:rPr>
          <w:sz w:val="24"/>
          <w:szCs w:val="24"/>
        </w:rPr>
        <w:t xml:space="preserve"> listed a rental house located at 123 Ocean View in Schedule A valued at $100,000 encumbered by a valid and perfected lien securing a debt of $30,000.  At the time the petition was filed on November 20, 2002, the Debtor had not yet received the November rent in the amount of $500 from the tenant, Steve James.  The Debtor listed $500 as rent receivable in Schedule B.</w:t>
      </w:r>
    </w:p>
    <w:p w:rsidR="00F53B9A" w:rsidRDefault="00F53B9A" w:rsidP="00F53B9A">
      <w:pPr>
        <w:rPr>
          <w:sz w:val="24"/>
          <w:szCs w:val="24"/>
        </w:rPr>
      </w:pPr>
    </w:p>
    <w:p w:rsidR="00F53B9A" w:rsidRDefault="00F53B9A" w:rsidP="00F53B9A">
      <w:pPr>
        <w:rPr>
          <w:sz w:val="24"/>
          <w:szCs w:val="24"/>
        </w:rPr>
      </w:pPr>
      <w:r>
        <w:rPr>
          <w:sz w:val="24"/>
          <w:szCs w:val="24"/>
        </w:rPr>
        <w:t>Ward determines the value of the rental property to be $63,000 ($100,000 scheduled value minus $30,000 lien minus $7,000 (7%) for estimated costs of sale, including realtor’s commission, taxes and closing costs).  Ward records this amount in Form 1, Column 3.</w:t>
      </w:r>
    </w:p>
    <w:p w:rsidR="00F53B9A" w:rsidRDefault="00F53B9A" w:rsidP="00F53B9A">
      <w:pPr>
        <w:rPr>
          <w:sz w:val="24"/>
          <w:szCs w:val="24"/>
        </w:rPr>
      </w:pPr>
    </w:p>
    <w:p w:rsidR="00F53B9A" w:rsidRDefault="00F53B9A" w:rsidP="00F53B9A">
      <w:pPr>
        <w:rPr>
          <w:sz w:val="24"/>
          <w:szCs w:val="24"/>
        </w:rPr>
      </w:pPr>
      <w:r>
        <w:rPr>
          <w:sz w:val="24"/>
          <w:szCs w:val="24"/>
        </w:rPr>
        <w:t>Ward collects the November rent on December 15, 2002, and posts the payment to the Ocean View rent receivable on Form 1, Column 5.  She notes “FA” in Column 6 to indicate that the asset has been fully administered.  The cash receipt of $500 is also posted on Form 2, with UTC 1122-000, Rents (scheduled).</w:t>
      </w:r>
    </w:p>
    <w:p w:rsidR="00F53B9A" w:rsidRDefault="00F53B9A" w:rsidP="00F53B9A">
      <w:pPr>
        <w:rPr>
          <w:sz w:val="24"/>
          <w:szCs w:val="24"/>
        </w:rPr>
      </w:pPr>
    </w:p>
    <w:p w:rsidR="00F53B9A" w:rsidRDefault="00F53B9A" w:rsidP="00F53B9A">
      <w:pPr>
        <w:rPr>
          <w:sz w:val="24"/>
          <w:szCs w:val="24"/>
        </w:rPr>
      </w:pPr>
      <w:r>
        <w:rPr>
          <w:sz w:val="24"/>
          <w:szCs w:val="24"/>
        </w:rPr>
        <w:t xml:space="preserve">Because there is equity for the estate in the rental property, Ward decides to continue the lease and collect rent until the property is sold.  Ward records post-petition rents as a “scheduled” </w:t>
      </w:r>
    </w:p>
    <w:p w:rsidR="00F53B9A" w:rsidRDefault="00F53B9A" w:rsidP="00F53B9A">
      <w:pPr>
        <w:numPr>
          <w:ilvl w:val="12"/>
          <w:numId w:val="0"/>
        </w:numPr>
        <w:rPr>
          <w:sz w:val="24"/>
          <w:szCs w:val="24"/>
        </w:rPr>
      </w:pPr>
      <w:r>
        <w:rPr>
          <w:sz w:val="24"/>
          <w:szCs w:val="24"/>
        </w:rPr>
        <w:t>asset on Form 1 (Asset #12), lists the petition value as “unknown” in Column 2 and the Estimated Net Value as “N/A” in Column 3, and documents the rents in Column 5, Form 1 and on Form 2 as they are received, using UTC 1122-000, Rents (scheduled).  (The correct UTC for post-petition rents, royalties, and dividends depends upon whether the underlying asset is “scheduled” or “unscheduled”.)</w:t>
      </w:r>
    </w:p>
    <w:p w:rsidR="00F53B9A" w:rsidRDefault="00F53B9A" w:rsidP="00F53B9A">
      <w:pPr>
        <w:rPr>
          <w:sz w:val="24"/>
          <w:szCs w:val="24"/>
        </w:rPr>
      </w:pPr>
      <w:r>
        <w:rPr>
          <w:sz w:val="24"/>
          <w:szCs w:val="24"/>
        </w:rPr>
        <w:br w:type="page"/>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On March 1, 2003, Ward obtains court authority to sell the rental property to Joe Fish for $90,000 (UTC 1110-000, Schedule A Real Property), and to pay the following amounts through escrow upon closing of the sale: (a) $30,000 lien encumbering the property (UTC 4110-000, Consensual Real Estate Liens); (b) $5,400 realtor’s fee (UTC 3510-000), (c) $1,200 property taxes (which must be divided between pre- and post-petition on Form 2, UTC 4700-000, Pre-Petition Real Property Tax Liens, and UTC 2820-000, Other Post-Petition State and Local Taxes), and (d) $600 costs of sale (UTC 2500-000, Costs re Sale of Property).  No capital gains tax is incurred upon the sale.  Form 2 illustrates the correct way to record the gross sale proceeds, deductions and $52,800 in net proceeds from the sale.  Ward records the gross sale price of $90,000 on Form 1, Column 5 and notes “FA” in Column 6 to indicate that the asset has been fully administered.</w:t>
      </w:r>
    </w:p>
    <w:p w:rsidR="00F53B9A" w:rsidRDefault="00F53B9A" w:rsidP="00F53B9A">
      <w:pPr>
        <w:numPr>
          <w:ilvl w:val="12"/>
          <w:numId w:val="0"/>
        </w:numPr>
        <w:rPr>
          <w:sz w:val="24"/>
          <w:szCs w:val="24"/>
        </w:rPr>
      </w:pPr>
    </w:p>
    <w:p w:rsidR="00F53B9A" w:rsidRDefault="00F53B9A" w:rsidP="00F53B9A">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 xml:space="preserve">Accounts Receivable (Asset #3), 1999 Chevy Van (Asset #6) &amp; Office Equipment (Asset #7) </w:t>
      </w:r>
    </w:p>
    <w:p w:rsidR="00F53B9A" w:rsidRDefault="00F53B9A" w:rsidP="00F53B9A">
      <w:pPr>
        <w:rPr>
          <w:sz w:val="24"/>
          <w:szCs w:val="24"/>
        </w:rPr>
      </w:pPr>
    </w:p>
    <w:p w:rsidR="00F53B9A" w:rsidRDefault="00F53B9A" w:rsidP="00F53B9A">
      <w:pPr>
        <w:rPr>
          <w:sz w:val="24"/>
          <w:szCs w:val="24"/>
        </w:rPr>
      </w:pPr>
      <w:r>
        <w:rPr>
          <w:sz w:val="24"/>
          <w:szCs w:val="24"/>
        </w:rPr>
        <w:t>National Bank claims a valid and perfected blanket lien against the accounts receivable, 1999 Chevy van, and office equipment as security for its loan of $10,000.  As discussed below, Ward estimates that she can collect approximately $9,000 of the accounts receivable, sell the van and the office equipment, payoff the bank’s lien, and realize a $9,700 net benefit for the estate from the administration of these assets.</w:t>
      </w:r>
    </w:p>
    <w:p w:rsidR="00F53B9A" w:rsidRDefault="00F53B9A" w:rsidP="00F53B9A">
      <w:pPr>
        <w:rPr>
          <w:sz w:val="24"/>
          <w:szCs w:val="24"/>
        </w:rPr>
      </w:pPr>
    </w:p>
    <w:p w:rsidR="00F53B9A" w:rsidRDefault="00F53B9A" w:rsidP="00F53B9A">
      <w:pPr>
        <w:rPr>
          <w:sz w:val="24"/>
          <w:szCs w:val="24"/>
        </w:rPr>
      </w:pPr>
      <w:r>
        <w:rPr>
          <w:b/>
          <w:bCs/>
          <w:sz w:val="24"/>
          <w:szCs w:val="24"/>
        </w:rPr>
        <w:t xml:space="preserve">     </w:t>
      </w:r>
      <w:r>
        <w:rPr>
          <w:b/>
          <w:bCs/>
          <w:sz w:val="24"/>
          <w:szCs w:val="24"/>
          <w:u w:val="single"/>
        </w:rPr>
        <w:t>Analysis of Net Benefit to Estate:</w:t>
      </w:r>
    </w:p>
    <w:tbl>
      <w:tblPr>
        <w:tblW w:w="0" w:type="auto"/>
        <w:tblInd w:w="390" w:type="dxa"/>
        <w:tblLayout w:type="fixed"/>
        <w:tblCellMar>
          <w:left w:w="120" w:type="dxa"/>
          <w:right w:w="120" w:type="dxa"/>
        </w:tblCellMar>
        <w:tblLook w:val="0000" w:firstRow="0" w:lastRow="0" w:firstColumn="0" w:lastColumn="0" w:noHBand="0" w:noVBand="0"/>
      </w:tblPr>
      <w:tblGrid>
        <w:gridCol w:w="4230"/>
        <w:gridCol w:w="1350"/>
        <w:gridCol w:w="990"/>
        <w:gridCol w:w="1350"/>
        <w:gridCol w:w="1170"/>
      </w:tblGrid>
      <w:tr w:rsidR="00F53B9A">
        <w:trPr>
          <w:cantSplit/>
        </w:trPr>
        <w:tc>
          <w:tcPr>
            <w:tcW w:w="4230" w:type="dxa"/>
            <w:tcBorders>
              <w:top w:val="nil"/>
              <w:left w:val="nil"/>
              <w:bottom w:val="single" w:sz="12" w:space="0" w:color="000000"/>
              <w:right w:val="nil"/>
            </w:tcBorders>
          </w:tcPr>
          <w:p w:rsidR="00F53B9A" w:rsidRDefault="00F53B9A">
            <w:pPr>
              <w:spacing w:before="114" w:after="51"/>
            </w:pPr>
          </w:p>
        </w:tc>
        <w:tc>
          <w:tcPr>
            <w:tcW w:w="1350" w:type="dxa"/>
            <w:tcBorders>
              <w:top w:val="nil"/>
              <w:left w:val="nil"/>
              <w:bottom w:val="single" w:sz="12" w:space="0" w:color="000000"/>
              <w:right w:val="nil"/>
            </w:tcBorders>
          </w:tcPr>
          <w:p w:rsidR="00F53B9A" w:rsidRDefault="00F53B9A">
            <w:pPr>
              <w:spacing w:before="114"/>
              <w:jc w:val="center"/>
              <w:rPr>
                <w:b/>
                <w:bCs/>
              </w:rPr>
            </w:pPr>
            <w:r>
              <w:rPr>
                <w:b/>
                <w:bCs/>
              </w:rPr>
              <w:t xml:space="preserve">Accounts </w:t>
            </w:r>
          </w:p>
          <w:p w:rsidR="00F53B9A" w:rsidRDefault="00F53B9A">
            <w:pPr>
              <w:spacing w:after="51"/>
              <w:jc w:val="center"/>
            </w:pPr>
            <w:r>
              <w:rPr>
                <w:b/>
                <w:bCs/>
              </w:rPr>
              <w:t>Receivable</w:t>
            </w:r>
          </w:p>
        </w:tc>
        <w:tc>
          <w:tcPr>
            <w:tcW w:w="990" w:type="dxa"/>
            <w:tcBorders>
              <w:top w:val="nil"/>
              <w:left w:val="nil"/>
              <w:bottom w:val="single" w:sz="12" w:space="0" w:color="000000"/>
              <w:right w:val="nil"/>
            </w:tcBorders>
          </w:tcPr>
          <w:p w:rsidR="00F53B9A" w:rsidRDefault="00F53B9A">
            <w:pPr>
              <w:spacing w:before="114"/>
              <w:jc w:val="center"/>
              <w:rPr>
                <w:b/>
                <w:bCs/>
              </w:rPr>
            </w:pPr>
          </w:p>
          <w:p w:rsidR="00F53B9A" w:rsidRDefault="00F53B9A">
            <w:pPr>
              <w:spacing w:after="51"/>
              <w:jc w:val="center"/>
            </w:pPr>
            <w:r>
              <w:rPr>
                <w:b/>
                <w:bCs/>
              </w:rPr>
              <w:t>Van</w:t>
            </w:r>
          </w:p>
        </w:tc>
        <w:tc>
          <w:tcPr>
            <w:tcW w:w="1350" w:type="dxa"/>
            <w:tcBorders>
              <w:top w:val="nil"/>
              <w:left w:val="nil"/>
              <w:bottom w:val="single" w:sz="12" w:space="0" w:color="000000"/>
              <w:right w:val="nil"/>
            </w:tcBorders>
          </w:tcPr>
          <w:p w:rsidR="00F53B9A" w:rsidRDefault="00F53B9A">
            <w:pPr>
              <w:spacing w:before="114"/>
              <w:jc w:val="center"/>
              <w:rPr>
                <w:b/>
                <w:bCs/>
              </w:rPr>
            </w:pPr>
            <w:r>
              <w:rPr>
                <w:b/>
                <w:bCs/>
              </w:rPr>
              <w:t>Office</w:t>
            </w:r>
          </w:p>
          <w:p w:rsidR="00F53B9A" w:rsidRDefault="00F53B9A">
            <w:pPr>
              <w:spacing w:after="51"/>
              <w:jc w:val="center"/>
            </w:pPr>
            <w:r>
              <w:rPr>
                <w:b/>
                <w:bCs/>
              </w:rPr>
              <w:t>Equipment</w:t>
            </w:r>
          </w:p>
        </w:tc>
        <w:tc>
          <w:tcPr>
            <w:tcW w:w="1170" w:type="dxa"/>
            <w:tcBorders>
              <w:top w:val="nil"/>
              <w:left w:val="nil"/>
              <w:bottom w:val="single" w:sz="12" w:space="0" w:color="000000"/>
              <w:right w:val="nil"/>
            </w:tcBorders>
          </w:tcPr>
          <w:p w:rsidR="00F53B9A" w:rsidRDefault="00F53B9A">
            <w:pPr>
              <w:spacing w:before="114"/>
              <w:jc w:val="center"/>
              <w:rPr>
                <w:b/>
                <w:bCs/>
              </w:rPr>
            </w:pPr>
          </w:p>
          <w:p w:rsidR="00F53B9A" w:rsidRDefault="00F53B9A">
            <w:pPr>
              <w:spacing w:after="51"/>
              <w:jc w:val="center"/>
            </w:pPr>
            <w:r>
              <w:rPr>
                <w:b/>
                <w:bCs/>
              </w:rPr>
              <w:t>Total</w:t>
            </w:r>
          </w:p>
        </w:tc>
      </w:tr>
      <w:tr w:rsidR="00F53B9A">
        <w:trPr>
          <w:cantSplit/>
        </w:trPr>
        <w:tc>
          <w:tcPr>
            <w:tcW w:w="4230" w:type="dxa"/>
            <w:tcBorders>
              <w:top w:val="nil"/>
              <w:left w:val="nil"/>
              <w:bottom w:val="nil"/>
              <w:right w:val="nil"/>
            </w:tcBorders>
          </w:tcPr>
          <w:p w:rsidR="00F53B9A" w:rsidRPr="00F53B9A" w:rsidRDefault="00F53B9A">
            <w:pPr>
              <w:spacing w:before="114" w:after="51"/>
            </w:pPr>
            <w:r w:rsidRPr="00F53B9A">
              <w:rPr>
                <w:b/>
                <w:bCs/>
              </w:rPr>
              <w:t>Estimated fair market value</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$9,000</w:t>
            </w:r>
          </w:p>
        </w:tc>
        <w:tc>
          <w:tcPr>
            <w:tcW w:w="990" w:type="dxa"/>
            <w:tcBorders>
              <w:top w:val="nil"/>
              <w:left w:val="nil"/>
              <w:bottom w:val="nil"/>
              <w:right w:val="nil"/>
            </w:tcBorders>
          </w:tcPr>
          <w:p w:rsidR="00F53B9A" w:rsidRPr="00F53B9A" w:rsidRDefault="00F53B9A">
            <w:pPr>
              <w:spacing w:before="114" w:after="51"/>
              <w:jc w:val="right"/>
            </w:pPr>
            <w:r w:rsidRPr="00F53B9A">
              <w:rPr>
                <w:b/>
                <w:bCs/>
              </w:rPr>
              <w:t>$9,000</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$4,000</w:t>
            </w:r>
          </w:p>
        </w:tc>
        <w:tc>
          <w:tcPr>
            <w:tcW w:w="1170" w:type="dxa"/>
            <w:tcBorders>
              <w:top w:val="nil"/>
              <w:left w:val="nil"/>
              <w:bottom w:val="nil"/>
              <w:right w:val="nil"/>
            </w:tcBorders>
          </w:tcPr>
          <w:p w:rsidR="00F53B9A" w:rsidRPr="00F53B9A" w:rsidRDefault="00F53B9A">
            <w:pPr>
              <w:spacing w:before="114" w:after="51"/>
              <w:jc w:val="right"/>
            </w:pPr>
            <w:r w:rsidRPr="00F53B9A">
              <w:rPr>
                <w:b/>
                <w:bCs/>
              </w:rPr>
              <w:t>$22,000</w:t>
            </w:r>
          </w:p>
        </w:tc>
      </w:tr>
      <w:tr w:rsidR="00F53B9A">
        <w:trPr>
          <w:cantSplit/>
        </w:trPr>
        <w:tc>
          <w:tcPr>
            <w:tcW w:w="4230" w:type="dxa"/>
            <w:tcBorders>
              <w:top w:val="nil"/>
              <w:left w:val="nil"/>
              <w:bottom w:val="nil"/>
              <w:right w:val="nil"/>
            </w:tcBorders>
          </w:tcPr>
          <w:p w:rsidR="00F53B9A" w:rsidRPr="00F53B9A" w:rsidRDefault="00F53B9A">
            <w:pPr>
              <w:spacing w:before="114" w:after="51"/>
            </w:pPr>
            <w:r w:rsidRPr="00F53B9A">
              <w:rPr>
                <w:b/>
                <w:bCs/>
              </w:rPr>
              <w:t>Estimated costs of sale (10%)</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0</w:t>
            </w:r>
          </w:p>
        </w:tc>
        <w:tc>
          <w:tcPr>
            <w:tcW w:w="990" w:type="dxa"/>
            <w:tcBorders>
              <w:top w:val="nil"/>
              <w:left w:val="nil"/>
              <w:bottom w:val="nil"/>
              <w:right w:val="nil"/>
            </w:tcBorders>
          </w:tcPr>
          <w:p w:rsidR="00F53B9A" w:rsidRPr="00F53B9A" w:rsidRDefault="00F53B9A">
            <w:pPr>
              <w:spacing w:before="114" w:after="51"/>
              <w:jc w:val="right"/>
            </w:pPr>
            <w:r w:rsidRPr="00F53B9A">
              <w:rPr>
                <w:b/>
                <w:bCs/>
              </w:rPr>
              <w:t>(900)</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(400)</w:t>
            </w:r>
          </w:p>
        </w:tc>
        <w:tc>
          <w:tcPr>
            <w:tcW w:w="1170" w:type="dxa"/>
            <w:tcBorders>
              <w:top w:val="nil"/>
              <w:left w:val="nil"/>
              <w:bottom w:val="nil"/>
              <w:right w:val="nil"/>
            </w:tcBorders>
          </w:tcPr>
          <w:p w:rsidR="00F53B9A" w:rsidRPr="00F53B9A" w:rsidRDefault="00F53B9A">
            <w:pPr>
              <w:spacing w:before="114" w:after="51"/>
              <w:jc w:val="right"/>
            </w:pPr>
            <w:r w:rsidRPr="00F53B9A">
              <w:rPr>
                <w:b/>
                <w:bCs/>
              </w:rPr>
              <w:t>(1,300)</w:t>
            </w:r>
          </w:p>
        </w:tc>
      </w:tr>
      <w:tr w:rsidR="00F53B9A">
        <w:trPr>
          <w:cantSplit/>
        </w:trPr>
        <w:tc>
          <w:tcPr>
            <w:tcW w:w="4230" w:type="dxa"/>
            <w:tcBorders>
              <w:top w:val="nil"/>
              <w:left w:val="nil"/>
              <w:bottom w:val="nil"/>
              <w:right w:val="nil"/>
            </w:tcBorders>
          </w:tcPr>
          <w:p w:rsidR="00F53B9A" w:rsidRPr="00F53B9A" w:rsidRDefault="00F53B9A" w:rsidP="005E7587">
            <w:pPr>
              <w:spacing w:before="114"/>
            </w:pPr>
            <w:r w:rsidRPr="00F53B9A">
              <w:rPr>
                <w:b/>
                <w:bCs/>
              </w:rPr>
              <w:t>Allocation of payoff to bank</w:t>
            </w:r>
            <w:r w:rsidR="005E7587" w:rsidRPr="005E7587">
              <w:rPr>
                <w:b/>
                <w:bCs/>
                <w:vertAlign w:val="superscript"/>
              </w:rPr>
              <w:t>1</w:t>
            </w:r>
          </w:p>
        </w:tc>
        <w:tc>
          <w:tcPr>
            <w:tcW w:w="1350" w:type="dxa"/>
            <w:tcBorders>
              <w:top w:val="nil"/>
              <w:left w:val="nil"/>
              <w:bottom w:val="nil"/>
              <w:right w:val="nil"/>
            </w:tcBorders>
          </w:tcPr>
          <w:p w:rsidR="00F53B9A" w:rsidRPr="005E7587" w:rsidRDefault="00F53B9A">
            <w:pPr>
              <w:spacing w:before="114" w:after="51"/>
              <w:jc w:val="right"/>
            </w:pPr>
            <w:r w:rsidRPr="005E7587">
              <w:rPr>
                <w:b/>
                <w:bCs/>
              </w:rPr>
              <w:t>(9,000)</w:t>
            </w:r>
          </w:p>
        </w:tc>
        <w:tc>
          <w:tcPr>
            <w:tcW w:w="990" w:type="dxa"/>
            <w:tcBorders>
              <w:top w:val="nil"/>
              <w:left w:val="nil"/>
              <w:bottom w:val="nil"/>
              <w:right w:val="nil"/>
            </w:tcBorders>
          </w:tcPr>
          <w:p w:rsidR="00F53B9A" w:rsidRPr="005E7587" w:rsidRDefault="00F53B9A">
            <w:pPr>
              <w:spacing w:before="114" w:after="51"/>
              <w:jc w:val="right"/>
            </w:pPr>
            <w:r w:rsidRPr="005E7587">
              <w:rPr>
                <w:b/>
                <w:bCs/>
              </w:rPr>
              <w:t>(1,000)</w:t>
            </w:r>
          </w:p>
        </w:tc>
        <w:tc>
          <w:tcPr>
            <w:tcW w:w="1350" w:type="dxa"/>
            <w:tcBorders>
              <w:top w:val="nil"/>
              <w:left w:val="nil"/>
              <w:bottom w:val="nil"/>
              <w:right w:val="nil"/>
            </w:tcBorders>
          </w:tcPr>
          <w:p w:rsidR="00F53B9A" w:rsidRPr="005E7587" w:rsidRDefault="00F53B9A">
            <w:pPr>
              <w:spacing w:before="114" w:after="51"/>
              <w:jc w:val="right"/>
            </w:pPr>
            <w:r w:rsidRPr="005E7587">
              <w:rPr>
                <w:b/>
                <w:bCs/>
              </w:rPr>
              <w:t>0</w:t>
            </w:r>
          </w:p>
        </w:tc>
        <w:tc>
          <w:tcPr>
            <w:tcW w:w="1170" w:type="dxa"/>
            <w:tcBorders>
              <w:top w:val="nil"/>
              <w:left w:val="nil"/>
              <w:bottom w:val="nil"/>
              <w:right w:val="nil"/>
            </w:tcBorders>
          </w:tcPr>
          <w:p w:rsidR="00F53B9A" w:rsidRPr="005E7587" w:rsidRDefault="00F53B9A">
            <w:pPr>
              <w:spacing w:before="114" w:after="51"/>
              <w:jc w:val="right"/>
            </w:pPr>
            <w:r w:rsidRPr="005E7587">
              <w:rPr>
                <w:b/>
                <w:bCs/>
              </w:rPr>
              <w:t>(10,000)</w:t>
            </w:r>
          </w:p>
        </w:tc>
      </w:tr>
      <w:tr w:rsidR="00F53B9A" w:rsidRPr="00F53B9A">
        <w:trPr>
          <w:cantSplit/>
        </w:trPr>
        <w:tc>
          <w:tcPr>
            <w:tcW w:w="4230" w:type="dxa"/>
            <w:tcBorders>
              <w:top w:val="nil"/>
              <w:left w:val="nil"/>
              <w:bottom w:val="nil"/>
              <w:right w:val="nil"/>
            </w:tcBorders>
          </w:tcPr>
          <w:p w:rsidR="00F53B9A" w:rsidRPr="00F53B9A" w:rsidRDefault="00F53B9A" w:rsidP="005E7587">
            <w:pPr>
              <w:spacing w:before="114"/>
            </w:pPr>
            <w:r w:rsidRPr="00F53B9A">
              <w:rPr>
                <w:b/>
                <w:bCs/>
              </w:rPr>
              <w:t>Estimated tax consequences</w:t>
            </w:r>
            <w:r w:rsidR="005E7587" w:rsidRPr="005E7587">
              <w:rPr>
                <w:b/>
                <w:bCs/>
                <w:vertAlign w:val="superscript"/>
              </w:rPr>
              <w:t>2</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0</w:t>
            </w:r>
          </w:p>
        </w:tc>
        <w:tc>
          <w:tcPr>
            <w:tcW w:w="990" w:type="dxa"/>
            <w:tcBorders>
              <w:top w:val="nil"/>
              <w:left w:val="nil"/>
              <w:bottom w:val="nil"/>
              <w:right w:val="nil"/>
            </w:tcBorders>
          </w:tcPr>
          <w:p w:rsidR="00F53B9A" w:rsidRPr="00F53B9A" w:rsidRDefault="00F53B9A">
            <w:pPr>
              <w:spacing w:before="114" w:after="51"/>
              <w:jc w:val="right"/>
            </w:pPr>
            <w:r w:rsidRPr="00F53B9A">
              <w:rPr>
                <w:b/>
                <w:bCs/>
              </w:rPr>
              <w:t>0</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0</w:t>
            </w:r>
          </w:p>
        </w:tc>
        <w:tc>
          <w:tcPr>
            <w:tcW w:w="1170" w:type="dxa"/>
            <w:tcBorders>
              <w:top w:val="nil"/>
              <w:left w:val="nil"/>
              <w:bottom w:val="nil"/>
              <w:right w:val="nil"/>
            </w:tcBorders>
          </w:tcPr>
          <w:p w:rsidR="00F53B9A" w:rsidRPr="00F53B9A" w:rsidRDefault="00F53B9A">
            <w:pPr>
              <w:spacing w:before="114" w:after="51"/>
              <w:jc w:val="right"/>
            </w:pPr>
            <w:r w:rsidRPr="00F53B9A">
              <w:rPr>
                <w:b/>
                <w:bCs/>
              </w:rPr>
              <w:t>0</w:t>
            </w:r>
          </w:p>
        </w:tc>
      </w:tr>
      <w:tr w:rsidR="00F53B9A" w:rsidRPr="00F53B9A">
        <w:trPr>
          <w:cantSplit/>
        </w:trPr>
        <w:tc>
          <w:tcPr>
            <w:tcW w:w="4230" w:type="dxa"/>
            <w:tcBorders>
              <w:top w:val="nil"/>
              <w:left w:val="nil"/>
              <w:bottom w:val="nil"/>
              <w:right w:val="nil"/>
            </w:tcBorders>
          </w:tcPr>
          <w:p w:rsidR="00F53B9A" w:rsidRPr="00F53B9A" w:rsidRDefault="00F53B9A">
            <w:pPr>
              <w:spacing w:before="114" w:after="51"/>
            </w:pPr>
            <w:r w:rsidRPr="00F53B9A">
              <w:rPr>
                <w:b/>
                <w:bCs/>
              </w:rPr>
              <w:t>Debtor’s exemption</w:t>
            </w:r>
            <w:r w:rsidR="005E7587" w:rsidRPr="005E7587">
              <w:rPr>
                <w:b/>
                <w:bCs/>
                <w:vertAlign w:val="superscript"/>
              </w:rPr>
              <w:t>3</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0</w:t>
            </w:r>
          </w:p>
        </w:tc>
        <w:tc>
          <w:tcPr>
            <w:tcW w:w="990" w:type="dxa"/>
            <w:tcBorders>
              <w:top w:val="nil"/>
              <w:left w:val="nil"/>
              <w:bottom w:val="nil"/>
              <w:right w:val="nil"/>
            </w:tcBorders>
          </w:tcPr>
          <w:p w:rsidR="00F53B9A" w:rsidRPr="00F53B9A" w:rsidRDefault="00F53B9A">
            <w:pPr>
              <w:spacing w:before="114" w:after="51"/>
              <w:jc w:val="right"/>
            </w:pPr>
            <w:r w:rsidRPr="00F53B9A">
              <w:rPr>
                <w:b/>
                <w:bCs/>
              </w:rPr>
              <w:t>(1,000)</w:t>
            </w:r>
          </w:p>
        </w:tc>
        <w:tc>
          <w:tcPr>
            <w:tcW w:w="1350" w:type="dxa"/>
            <w:tcBorders>
              <w:top w:val="nil"/>
              <w:left w:val="nil"/>
              <w:bottom w:val="nil"/>
              <w:right w:val="nil"/>
            </w:tcBorders>
          </w:tcPr>
          <w:p w:rsidR="00F53B9A" w:rsidRPr="00F53B9A" w:rsidRDefault="00F53B9A">
            <w:pPr>
              <w:spacing w:before="114" w:after="51"/>
              <w:jc w:val="right"/>
            </w:pPr>
            <w:r w:rsidRPr="00F53B9A">
              <w:rPr>
                <w:b/>
                <w:bCs/>
              </w:rPr>
              <w:t>0</w:t>
            </w:r>
          </w:p>
        </w:tc>
        <w:tc>
          <w:tcPr>
            <w:tcW w:w="1170" w:type="dxa"/>
            <w:tcBorders>
              <w:top w:val="nil"/>
              <w:left w:val="nil"/>
              <w:bottom w:val="nil"/>
              <w:right w:val="nil"/>
            </w:tcBorders>
          </w:tcPr>
          <w:p w:rsidR="00F53B9A" w:rsidRPr="00F53B9A" w:rsidRDefault="00F53B9A">
            <w:pPr>
              <w:spacing w:before="114" w:after="51"/>
              <w:jc w:val="right"/>
            </w:pPr>
            <w:r w:rsidRPr="00F53B9A">
              <w:rPr>
                <w:b/>
                <w:bCs/>
              </w:rPr>
              <w:t>(1,000)</w:t>
            </w:r>
          </w:p>
        </w:tc>
      </w:tr>
      <w:tr w:rsidR="00F53B9A" w:rsidRPr="00F53B9A">
        <w:trPr>
          <w:cantSplit/>
        </w:trPr>
        <w:tc>
          <w:tcPr>
            <w:tcW w:w="4230" w:type="dxa"/>
            <w:tcBorders>
              <w:top w:val="single" w:sz="12" w:space="0" w:color="000000"/>
              <w:left w:val="nil"/>
              <w:bottom w:val="nil"/>
              <w:right w:val="nil"/>
            </w:tcBorders>
          </w:tcPr>
          <w:p w:rsidR="00F53B9A" w:rsidRPr="00F53B9A" w:rsidRDefault="00F53B9A" w:rsidP="005E7587">
            <w:pPr>
              <w:spacing w:before="114"/>
            </w:pPr>
            <w:r w:rsidRPr="00F53B9A">
              <w:rPr>
                <w:b/>
                <w:bCs/>
              </w:rPr>
              <w:t>Net benefit to the estate</w:t>
            </w:r>
          </w:p>
        </w:tc>
        <w:tc>
          <w:tcPr>
            <w:tcW w:w="1350" w:type="dxa"/>
            <w:tcBorders>
              <w:top w:val="single" w:sz="12" w:space="0" w:color="000000"/>
              <w:left w:val="nil"/>
              <w:bottom w:val="nil"/>
              <w:right w:val="nil"/>
            </w:tcBorders>
          </w:tcPr>
          <w:p w:rsidR="00F53B9A" w:rsidRPr="00F53B9A" w:rsidRDefault="00F53B9A">
            <w:pPr>
              <w:spacing w:before="114" w:after="51"/>
              <w:jc w:val="right"/>
            </w:pPr>
            <w:r w:rsidRPr="00F53B9A">
              <w:rPr>
                <w:b/>
                <w:bCs/>
              </w:rPr>
              <w:t>$0</w:t>
            </w:r>
          </w:p>
        </w:tc>
        <w:tc>
          <w:tcPr>
            <w:tcW w:w="990" w:type="dxa"/>
            <w:tcBorders>
              <w:top w:val="single" w:sz="12" w:space="0" w:color="000000"/>
              <w:left w:val="nil"/>
              <w:bottom w:val="nil"/>
              <w:right w:val="nil"/>
            </w:tcBorders>
          </w:tcPr>
          <w:p w:rsidR="00F53B9A" w:rsidRPr="00F53B9A" w:rsidRDefault="00F53B9A">
            <w:pPr>
              <w:spacing w:before="114" w:after="51"/>
              <w:jc w:val="right"/>
            </w:pPr>
            <w:r w:rsidRPr="00F53B9A">
              <w:rPr>
                <w:b/>
                <w:bCs/>
              </w:rPr>
              <w:t>$6,100</w:t>
            </w:r>
          </w:p>
        </w:tc>
        <w:tc>
          <w:tcPr>
            <w:tcW w:w="1350" w:type="dxa"/>
            <w:tcBorders>
              <w:top w:val="single" w:sz="12" w:space="0" w:color="000000"/>
              <w:left w:val="nil"/>
              <w:bottom w:val="nil"/>
              <w:right w:val="nil"/>
            </w:tcBorders>
          </w:tcPr>
          <w:p w:rsidR="00F53B9A" w:rsidRPr="00F53B9A" w:rsidRDefault="00F53B9A">
            <w:pPr>
              <w:spacing w:before="114" w:after="51"/>
              <w:jc w:val="right"/>
            </w:pPr>
            <w:r w:rsidRPr="00F53B9A">
              <w:rPr>
                <w:b/>
                <w:bCs/>
              </w:rPr>
              <w:t>$3,600</w:t>
            </w:r>
          </w:p>
        </w:tc>
        <w:tc>
          <w:tcPr>
            <w:tcW w:w="1170" w:type="dxa"/>
            <w:tcBorders>
              <w:top w:val="single" w:sz="12" w:space="0" w:color="000000"/>
              <w:left w:val="nil"/>
              <w:bottom w:val="nil"/>
              <w:right w:val="nil"/>
            </w:tcBorders>
          </w:tcPr>
          <w:p w:rsidR="00F53B9A" w:rsidRPr="00F53B9A" w:rsidRDefault="00F53B9A">
            <w:pPr>
              <w:spacing w:before="114" w:after="51"/>
              <w:jc w:val="right"/>
            </w:pPr>
            <w:r w:rsidRPr="00F53B9A">
              <w:rPr>
                <w:b/>
                <w:bCs/>
              </w:rPr>
              <w:t>$9,700</w:t>
            </w:r>
          </w:p>
        </w:tc>
      </w:tr>
    </w:tbl>
    <w:p w:rsidR="005E7587" w:rsidRDefault="005E7587" w:rsidP="005E7587">
      <w:pPr>
        <w:rPr>
          <w:sz w:val="24"/>
          <w:szCs w:val="24"/>
        </w:rPr>
      </w:pPr>
    </w:p>
    <w:p w:rsidR="005E7587" w:rsidRDefault="005E7587" w:rsidP="005E7587">
      <w:pPr>
        <w:pStyle w:val="FootnoteText"/>
      </w:pPr>
      <w:r w:rsidRPr="005E7587">
        <w:rPr>
          <w:sz w:val="24"/>
          <w:szCs w:val="24"/>
          <w:vertAlign w:val="superscript"/>
        </w:rPr>
        <w:t>1</w:t>
      </w:r>
      <w:r w:rsidRPr="005E7587">
        <w:rPr>
          <w:sz w:val="22"/>
          <w:szCs w:val="22"/>
          <w:vertAlign w:val="superscript"/>
        </w:rPr>
        <w:t xml:space="preserve"> </w:t>
      </w:r>
      <w:r>
        <w:rPr>
          <w:sz w:val="22"/>
          <w:szCs w:val="22"/>
        </w:rPr>
        <w:t>Allocated to the assets in the order they were listed on Schedule B.</w:t>
      </w:r>
    </w:p>
    <w:p w:rsidR="005E7587" w:rsidRDefault="005E7587" w:rsidP="005E7587">
      <w:pPr>
        <w:rPr>
          <w:sz w:val="22"/>
          <w:szCs w:val="22"/>
        </w:rPr>
      </w:pPr>
      <w:r w:rsidRPr="005E7587">
        <w:rPr>
          <w:sz w:val="24"/>
          <w:szCs w:val="24"/>
          <w:vertAlign w:val="superscript"/>
        </w:rPr>
        <w:t>2</w:t>
      </w:r>
      <w:r w:rsidRPr="005E7587">
        <w:rPr>
          <w:sz w:val="22"/>
          <w:szCs w:val="22"/>
          <w:vertAlign w:val="superscript"/>
        </w:rPr>
        <w:t xml:space="preserve"> </w:t>
      </w:r>
      <w:r>
        <w:rPr>
          <w:sz w:val="22"/>
          <w:szCs w:val="22"/>
        </w:rPr>
        <w:t>Due to losses from the card business, Ward estimates that no taxes will be due as a result of these transactions.</w:t>
      </w:r>
    </w:p>
    <w:p w:rsidR="005E7587" w:rsidRDefault="005E7587" w:rsidP="005E7587">
      <w:pPr>
        <w:rPr>
          <w:sz w:val="24"/>
          <w:szCs w:val="24"/>
        </w:rPr>
      </w:pPr>
      <w:r w:rsidRPr="005E7587">
        <w:rPr>
          <w:sz w:val="22"/>
          <w:szCs w:val="22"/>
          <w:vertAlign w:val="superscript"/>
        </w:rPr>
        <w:t xml:space="preserve">3 </w:t>
      </w:r>
      <w:r>
        <w:rPr>
          <w:sz w:val="22"/>
          <w:szCs w:val="22"/>
        </w:rPr>
        <w:t>The trustee’s compensation is also a consideration in determining whether or not to administer an asset</w:t>
      </w:r>
    </w:p>
    <w:p w:rsidR="005E7587" w:rsidRPr="00F53B9A" w:rsidRDefault="005E7587" w:rsidP="005E7587">
      <w:pPr>
        <w:rPr>
          <w:sz w:val="24"/>
          <w:szCs w:val="24"/>
        </w:rPr>
      </w:pPr>
    </w:p>
    <w:p w:rsidR="00F53B9A" w:rsidRPr="00F53B9A" w:rsidRDefault="00F53B9A" w:rsidP="00F53B9A">
      <w:pPr>
        <w:rPr>
          <w:sz w:val="24"/>
          <w:szCs w:val="24"/>
        </w:rPr>
      </w:pPr>
      <w:r w:rsidRPr="00F53B9A">
        <w:rPr>
          <w:sz w:val="24"/>
          <w:szCs w:val="24"/>
        </w:rPr>
        <w:tab/>
      </w:r>
      <w:r w:rsidRPr="00F53B9A">
        <w:rPr>
          <w:b/>
          <w:bCs/>
          <w:sz w:val="24"/>
          <w:szCs w:val="24"/>
          <w:u w:val="single"/>
        </w:rPr>
        <w:t>Accounts Receivable.</w:t>
      </w:r>
      <w:r w:rsidRPr="00F53B9A">
        <w:rPr>
          <w:sz w:val="24"/>
          <w:szCs w:val="24"/>
        </w:rPr>
        <w:t xml:space="preserve">  Debtor listed accounts receivable of $30,000 in Schedule B generated from his business, Martin Cards.  Ward sends demand letters immediately after the § 341(a) meeting.  Based on the results of her collection efforts, Ward estimates that only $9,000</w:t>
      </w:r>
      <w:r w:rsidR="00A15747">
        <w:rPr>
          <w:sz w:val="24"/>
          <w:szCs w:val="24"/>
        </w:rPr>
        <w:t xml:space="preserve"> </w:t>
      </w:r>
      <w:r w:rsidRPr="00F53B9A">
        <w:rPr>
          <w:sz w:val="24"/>
          <w:szCs w:val="24"/>
        </w:rPr>
        <w:t xml:space="preserve">of the receivables </w:t>
      </w:r>
      <w:proofErr w:type="gramStart"/>
      <w:r w:rsidRPr="00F53B9A">
        <w:rPr>
          <w:sz w:val="24"/>
          <w:szCs w:val="24"/>
        </w:rPr>
        <w:t>are</w:t>
      </w:r>
      <w:proofErr w:type="gramEnd"/>
      <w:r w:rsidRPr="00F53B9A">
        <w:rPr>
          <w:sz w:val="24"/>
          <w:szCs w:val="24"/>
        </w:rPr>
        <w:t xml:space="preserve"> collectible.  She allocates $9,000 of the National Bank lien to the receivables (as shown above) and records a -0- value to the estate on Form 1, Column 3.</w:t>
      </w:r>
    </w:p>
    <w:p w:rsidR="00F53B9A" w:rsidRPr="00F53B9A" w:rsidRDefault="00F53B9A" w:rsidP="00F53B9A">
      <w:pPr>
        <w:rPr>
          <w:sz w:val="24"/>
          <w:szCs w:val="24"/>
        </w:rPr>
      </w:pPr>
    </w:p>
    <w:p w:rsidR="00F53B9A" w:rsidRPr="00F53B9A" w:rsidRDefault="00F53B9A" w:rsidP="00F53B9A">
      <w:pPr>
        <w:rPr>
          <w:sz w:val="24"/>
          <w:szCs w:val="24"/>
        </w:rPr>
      </w:pPr>
      <w:r w:rsidRPr="00F53B9A">
        <w:rPr>
          <w:sz w:val="24"/>
          <w:szCs w:val="24"/>
        </w:rPr>
        <w:t xml:space="preserve">During the reporting period, Ward collects $5,000 from three customers: Hall Cards, Card Enterprises, and Excel Corporation.  She records the receipts in the Accounts Receivable Ledger and posts them on Form 1, Column 5 and on Form 2 (UTC 1121-000, Scheduled Notes and Accounts Receivable).  On February 28, 2003, Ward disburses the sum of $5,000 to National Bank in partial payment of its lien and documents the disbursement on Form 2 (UTC 4210-000, Consensual Lien-Personal Property and Intangibles).  Ward estimates the gross value of the remaining accounts receivable to be $4,000, and discloses this amount on Form 1, Column 6.  Ward also discloses as Note 1 on Form 1 that National Bank’s lien encumbers Asset Nos. 3, 6 and 7. </w:t>
      </w:r>
    </w:p>
    <w:p w:rsidR="00F53B9A" w:rsidRPr="00F53B9A" w:rsidRDefault="00F53B9A" w:rsidP="00F53B9A">
      <w:pPr>
        <w:rPr>
          <w:sz w:val="24"/>
          <w:szCs w:val="24"/>
        </w:rPr>
      </w:pPr>
    </w:p>
    <w:p w:rsidR="00F53B9A" w:rsidRPr="00F53B9A" w:rsidRDefault="00F53B9A" w:rsidP="00F53B9A">
      <w:pPr>
        <w:rPr>
          <w:sz w:val="24"/>
          <w:szCs w:val="24"/>
        </w:rPr>
      </w:pPr>
      <w:r w:rsidRPr="00F53B9A">
        <w:rPr>
          <w:b/>
          <w:bCs/>
          <w:sz w:val="24"/>
          <w:szCs w:val="24"/>
        </w:rPr>
        <w:tab/>
      </w:r>
      <w:proofErr w:type="gramStart"/>
      <w:r w:rsidRPr="00F53B9A">
        <w:rPr>
          <w:b/>
          <w:bCs/>
          <w:sz w:val="24"/>
          <w:szCs w:val="24"/>
          <w:u w:val="single"/>
        </w:rPr>
        <w:t>1999 Chevy Van.</w:t>
      </w:r>
      <w:proofErr w:type="gramEnd"/>
      <w:r w:rsidRPr="00F53B9A">
        <w:rPr>
          <w:sz w:val="24"/>
          <w:szCs w:val="24"/>
        </w:rPr>
        <w:t xml:space="preserve">  Debtor listed a 1999 Chevy Van in Schedule B valued at $5,000, and claimed a $1,000 exemption in the vehicle in Schedule C.  Ward checks the NADA book and determines that the van is worth $8,000 to $10,000.  Ward attributes the remaining National Bank lien to the van (see above) and lists the value of the van on Form 1, Column 3 as $6,100 ($9,000 less $1,000 lien, $1,000 exemption, and $900 estimated costs of sale).</w:t>
      </w:r>
    </w:p>
    <w:p w:rsidR="00F53B9A" w:rsidRPr="00F53B9A" w:rsidRDefault="00F53B9A" w:rsidP="00F53B9A">
      <w:pPr>
        <w:rPr>
          <w:sz w:val="24"/>
          <w:szCs w:val="24"/>
        </w:rPr>
      </w:pPr>
    </w:p>
    <w:p w:rsidR="00F53B9A" w:rsidRPr="00F53B9A" w:rsidRDefault="00F53B9A" w:rsidP="00F53B9A">
      <w:pPr>
        <w:rPr>
          <w:sz w:val="24"/>
          <w:szCs w:val="24"/>
        </w:rPr>
      </w:pPr>
      <w:r w:rsidRPr="00F53B9A">
        <w:rPr>
          <w:sz w:val="24"/>
          <w:szCs w:val="24"/>
        </w:rPr>
        <w:tab/>
      </w:r>
      <w:proofErr w:type="gramStart"/>
      <w:r w:rsidRPr="00F53B9A">
        <w:rPr>
          <w:b/>
          <w:bCs/>
          <w:sz w:val="24"/>
          <w:szCs w:val="24"/>
          <w:u w:val="single"/>
        </w:rPr>
        <w:t>Office Equipment.</w:t>
      </w:r>
      <w:proofErr w:type="gramEnd"/>
      <w:r w:rsidRPr="00F53B9A">
        <w:rPr>
          <w:sz w:val="24"/>
          <w:szCs w:val="24"/>
        </w:rPr>
        <w:t xml:space="preserve">  Debtor also listed miscellaneous office equipment in Schedule B valued at $5,000.  Ward determines that the fair market value of the office equipment is only $4,000.  Ward lists the petition value of the office equipment as $5,000 in Form 1, Column 2, and discloses the net benefit to the estate of $3,600 ($4,000 fair market value less $400 estimated costs of sale) in Form 1, Column 3.</w:t>
      </w:r>
    </w:p>
    <w:p w:rsidR="00F53B9A" w:rsidRPr="00F53B9A" w:rsidRDefault="00F53B9A" w:rsidP="00F53B9A">
      <w:pPr>
        <w:rPr>
          <w:sz w:val="24"/>
          <w:szCs w:val="24"/>
        </w:rPr>
      </w:pPr>
    </w:p>
    <w:p w:rsidR="00F53B9A" w:rsidRPr="00F53B9A" w:rsidRDefault="00F53B9A" w:rsidP="00F53B9A">
      <w:pPr>
        <w:rPr>
          <w:sz w:val="24"/>
          <w:szCs w:val="24"/>
        </w:rPr>
      </w:pPr>
      <w:r w:rsidRPr="00F53B9A">
        <w:rPr>
          <w:sz w:val="24"/>
          <w:szCs w:val="24"/>
        </w:rPr>
        <w:tab/>
      </w:r>
      <w:proofErr w:type="gramStart"/>
      <w:r w:rsidRPr="00F53B9A">
        <w:rPr>
          <w:b/>
          <w:bCs/>
          <w:sz w:val="24"/>
          <w:szCs w:val="24"/>
          <w:u w:val="single"/>
        </w:rPr>
        <w:t>Sale of 1999 Chevy Van and Office Equipment</w:t>
      </w:r>
      <w:r w:rsidRPr="00F53B9A">
        <w:rPr>
          <w:sz w:val="24"/>
          <w:szCs w:val="24"/>
        </w:rPr>
        <w:t>.</w:t>
      </w:r>
      <w:proofErr w:type="gramEnd"/>
      <w:r w:rsidRPr="00F53B9A">
        <w:rPr>
          <w:sz w:val="24"/>
          <w:szCs w:val="24"/>
        </w:rPr>
        <w:t xml:space="preserve">  On May 2, 2003, Ward obtains court authorization to hire an auctioneer to sell the van and office equipment.  On June 15, 2003, the van and office equipment are sold in bulk to Susan Taylor, who also is in the card business, for the sum of $8,000.  The auctioneer remits the gross proceeds of $8,000 on June 17, 2003.  Ward deposits the funds in the estate money market account and disburses $5,000 for the balance due to National Bank for the lien against the receivables, van and office equipment (UTC 4210-000, Consensual Lien-Personal Property and Intangibles), and $1,200 for auctioneer fees ($1,000 – UTC 3610-000) and expenses ($200 – UTC 3620-000).  These transactions are listed on Form 2.</w:t>
      </w:r>
    </w:p>
    <w:p w:rsidR="00F53B9A" w:rsidRPr="00F53B9A" w:rsidRDefault="00F53B9A" w:rsidP="00F53B9A">
      <w:pPr>
        <w:rPr>
          <w:sz w:val="24"/>
          <w:szCs w:val="24"/>
        </w:rPr>
      </w:pPr>
    </w:p>
    <w:p w:rsidR="00F53B9A" w:rsidRPr="00F53B9A" w:rsidRDefault="00F53B9A" w:rsidP="00F53B9A">
      <w:pPr>
        <w:rPr>
          <w:sz w:val="24"/>
          <w:szCs w:val="24"/>
        </w:rPr>
      </w:pPr>
      <w:r w:rsidRPr="00F53B9A">
        <w:rPr>
          <w:sz w:val="24"/>
          <w:szCs w:val="24"/>
        </w:rPr>
        <w:t xml:space="preserve">Ward records the gross proceeds from the bulk sale of the van and office equipment on Form 1.  Since the auctioneer did not provide a breakdown of the gross proceeds allocable to each asset, Ward uses a reasonable alternative method to allocate the proceeds.  Ward prorates the gross proceeds to each asset based on her initial valuation of the asset ($4,000 for the office equipment and $9,000 for the van). Ward posts $5,538 ($8,000 x $9,000/$13,000) for the van (Asset #6) and $2,462 ($8,000 x $4,000/$13,000) for the office equipment (Asset #7) in Form 1, Column 5.  Ward posts the deposit of $8,000 on Form 2 and shows under “Description of Transaction” that the proceeds are divided between Assets #6 and #7 (the UTC for both assets is 1129-000, Liquidation of Other Schedule B Property.)  </w:t>
      </w:r>
    </w:p>
    <w:p w:rsidR="00F53B9A" w:rsidRPr="00F53B9A" w:rsidRDefault="00F53B9A" w:rsidP="00F53B9A">
      <w:pPr>
        <w:rPr>
          <w:sz w:val="24"/>
          <w:szCs w:val="24"/>
        </w:rPr>
      </w:pPr>
    </w:p>
    <w:p w:rsidR="00F53B9A" w:rsidRDefault="00F53B9A" w:rsidP="00F53B9A">
      <w:pPr>
        <w:numPr>
          <w:ilvl w:val="12"/>
          <w:numId w:val="0"/>
        </w:numPr>
        <w:rPr>
          <w:sz w:val="24"/>
          <w:szCs w:val="24"/>
        </w:rPr>
      </w:pPr>
      <w:r w:rsidRPr="00F53B9A">
        <w:rPr>
          <w:sz w:val="24"/>
          <w:szCs w:val="24"/>
        </w:rPr>
        <w:t>On June 25, 2003, after the National Bank lien has been paid, Ward sends a check to the Debtor for the $1,000 exemption (UTC 8100-002) claimed for the van.</w:t>
      </w:r>
    </w:p>
    <w:p w:rsidR="00A15747" w:rsidRDefault="00A15747" w:rsidP="00F53B9A">
      <w:pPr>
        <w:numPr>
          <w:ilvl w:val="12"/>
          <w:numId w:val="0"/>
        </w:numPr>
        <w:rPr>
          <w:sz w:val="24"/>
          <w:szCs w:val="24"/>
        </w:rPr>
      </w:pPr>
    </w:p>
    <w:p w:rsidR="00A15747" w:rsidRDefault="00A15747" w:rsidP="00A1574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Household Goods (Asset #4)</w:t>
      </w:r>
      <w:r>
        <w:rPr>
          <w:sz w:val="24"/>
          <w:szCs w:val="24"/>
        </w:rPr>
        <w:t xml:space="preserve"> - Debtor listed household goods in Schedule B valued at $2,000, and properly claimed them as exempt in Schedule C.  Ward records the value of the household goods to the estate as -0- ($2,000 value less $2,000 exemption) on Form 1, Column 3.  Ward also notes on Form 1</w:t>
      </w:r>
      <w:r w:rsidRPr="00A15747">
        <w:rPr>
          <w:sz w:val="24"/>
          <w:szCs w:val="24"/>
        </w:rPr>
        <w:t>,</w:t>
      </w:r>
      <w:r w:rsidR="00DA3F8F">
        <w:rPr>
          <w:sz w:val="24"/>
          <w:szCs w:val="24"/>
        </w:rPr>
        <w:t xml:space="preserve"> </w:t>
      </w:r>
      <w:r>
        <w:rPr>
          <w:sz w:val="24"/>
          <w:szCs w:val="24"/>
        </w:rPr>
        <w:t>Column 6 that the asset is fully administered (FA).</w:t>
      </w:r>
    </w:p>
    <w:p w:rsidR="00A15747" w:rsidRDefault="00A15747" w:rsidP="00A15747">
      <w:pPr>
        <w:rPr>
          <w:sz w:val="24"/>
          <w:szCs w:val="24"/>
        </w:rPr>
      </w:pPr>
    </w:p>
    <w:p w:rsidR="00A15747" w:rsidRDefault="00A15747" w:rsidP="00A15747">
      <w:pPr>
        <w:rPr>
          <w:sz w:val="24"/>
          <w:szCs w:val="24"/>
        </w:rPr>
      </w:pPr>
      <w:r>
        <w:rPr>
          <w:b/>
          <w:bCs/>
          <w:sz w:val="24"/>
          <w:szCs w:val="24"/>
          <w:u w:val="single"/>
        </w:rPr>
        <w:t>Artwork (Asset #5)</w:t>
      </w:r>
      <w:r>
        <w:rPr>
          <w:sz w:val="24"/>
          <w:szCs w:val="24"/>
        </w:rPr>
        <w:t xml:space="preserve"> - Debtor listed artwork in Schedule B valued at $10,000.  Ward obtains court authorization on February 26, 2003, to employ Lily Spence, an appraiser, to perform an appraisal of the artwork for $1,000.  Based upon the appraisal, Ward determines that the artwork is worth $15,000.  On Form 1, Column 3, Ward records $12,500 as the estimated net value to the estate ($15,000 value less $1,000 appraisal fee, $1,500 costs to sell, and -0- taxes).</w:t>
      </w:r>
    </w:p>
    <w:p w:rsidR="00A15747" w:rsidRDefault="00A15747" w:rsidP="00A15747">
      <w:pPr>
        <w:rPr>
          <w:sz w:val="24"/>
          <w:szCs w:val="24"/>
        </w:rPr>
      </w:pPr>
    </w:p>
    <w:p w:rsidR="00A15747" w:rsidRDefault="00A15747" w:rsidP="00A15747">
      <w:pPr>
        <w:rPr>
          <w:sz w:val="24"/>
          <w:szCs w:val="24"/>
        </w:rPr>
      </w:pPr>
      <w:r>
        <w:rPr>
          <w:sz w:val="24"/>
          <w:szCs w:val="24"/>
        </w:rPr>
        <w:t>Ward pays the court-approved fee of $1,000 to the appraiser on March 31, 2003, and records the payment in Form 2 (UTC 3711-000, Appraiser for Trustee Fees).</w:t>
      </w:r>
    </w:p>
    <w:p w:rsidR="00A15747" w:rsidRDefault="00A15747" w:rsidP="00F53B9A">
      <w:pPr>
        <w:numPr>
          <w:ilvl w:val="12"/>
          <w:numId w:val="0"/>
        </w:numPr>
        <w:rPr>
          <w:sz w:val="24"/>
          <w:szCs w:val="24"/>
        </w:rPr>
      </w:pPr>
    </w:p>
    <w:p w:rsidR="00A15747" w:rsidRDefault="00A15747" w:rsidP="00A1574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Debtor, who is interested in retaining some of the artwork, reaches an agreement with Ward for a private sale of $5,000 worth of the artwork back to the Debtor, payable in five monthly installments of $1,000 each, commencing April 12, 2003.  The sale is approved by the court on March 31, 2003 (or properly noticed to creditors by the court and no objections are filed).  The remaining artwork is consigned to an art gallery.  Ward records the Debtor’s April 12, 2003, payment on Form 1, Column 5, and on Form 2 (UTC 1129-000, Liquidation of Other Schedule B Property).  Ward also notes the value of the remaining artwork to be </w:t>
      </w:r>
      <w:proofErr w:type="gramStart"/>
      <w:r>
        <w:rPr>
          <w:sz w:val="24"/>
          <w:szCs w:val="24"/>
        </w:rPr>
        <w:t>collected/sold</w:t>
      </w:r>
      <w:proofErr w:type="gramEnd"/>
      <w:r>
        <w:rPr>
          <w:sz w:val="24"/>
          <w:szCs w:val="24"/>
        </w:rPr>
        <w:t xml:space="preserve"> on Form 1, Column 6.</w:t>
      </w:r>
    </w:p>
    <w:p w:rsidR="00A15747" w:rsidRDefault="00A15747" w:rsidP="00A15747">
      <w:pPr>
        <w:rPr>
          <w:sz w:val="24"/>
          <w:szCs w:val="24"/>
        </w:rPr>
      </w:pPr>
    </w:p>
    <w:p w:rsidR="00A15747" w:rsidRDefault="00A15747" w:rsidP="00A15747">
      <w:pPr>
        <w:rPr>
          <w:sz w:val="24"/>
          <w:szCs w:val="24"/>
        </w:rPr>
      </w:pPr>
      <w:r>
        <w:rPr>
          <w:sz w:val="24"/>
          <w:szCs w:val="24"/>
        </w:rPr>
        <w:t xml:space="preserve">On April 20, 2003, Debtor’s check for the first payment is returned to Ward marked “NSF.”  Ward </w:t>
      </w:r>
      <w:proofErr w:type="spellStart"/>
      <w:r>
        <w:rPr>
          <w:sz w:val="24"/>
          <w:szCs w:val="24"/>
        </w:rPr>
        <w:t>redeposits</w:t>
      </w:r>
      <w:proofErr w:type="spellEnd"/>
      <w:r>
        <w:rPr>
          <w:sz w:val="24"/>
          <w:szCs w:val="24"/>
        </w:rPr>
        <w:t xml:space="preserve"> the check and it is paid.  Ward records the “NSF” check and the redeposit on Form 2 (using UTC 1129-000 for both transactions).  Debtor then fails to make the payments due in May and June.  Ward notes on Form 1 as a “major activity affecting case closing” that collection efforts are pending against the Debtor to collect the delinquent payments  Ward further notes that a public auction of the remaining artwork is set for August 15, 2003.  </w:t>
      </w:r>
    </w:p>
    <w:p w:rsidR="00A15747" w:rsidRDefault="00A15747" w:rsidP="00A15747">
      <w:pPr>
        <w:rPr>
          <w:sz w:val="24"/>
          <w:szCs w:val="24"/>
        </w:rPr>
      </w:pPr>
    </w:p>
    <w:p w:rsidR="00A15747" w:rsidRDefault="00A15747" w:rsidP="00A15747">
      <w:pPr>
        <w:rPr>
          <w:sz w:val="24"/>
          <w:szCs w:val="24"/>
        </w:rPr>
      </w:pPr>
      <w:r>
        <w:rPr>
          <w:b/>
          <w:bCs/>
          <w:sz w:val="24"/>
          <w:szCs w:val="24"/>
          <w:u w:val="single"/>
        </w:rPr>
        <w:t>One-Half Interest in Homestead (Asset #9)</w:t>
      </w:r>
      <w:r>
        <w:rPr>
          <w:sz w:val="24"/>
          <w:szCs w:val="24"/>
        </w:rPr>
        <w:t xml:space="preserve"> - Debtor listed a residence at 55 Lake Drive in Schedule A which he owned and occupied with his non-debtor spouse (not community property).  The total value of the Debtor’s interest plus that of the non-debtor spouse was listed in Schedule A at $75,000.  The debtor’s share of the Schedule A value (½ – $37,500) is recorded on Form 1, Column 2.  The house is encumbered by a lien of $20,000.  Ward determines that the value to the estate is $7,125.</w:t>
      </w:r>
    </w:p>
    <w:p w:rsidR="00A15747" w:rsidRDefault="00A15747" w:rsidP="00A15747">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br w:type="page"/>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Analysis of Net Benefit to Estate:</w:t>
      </w:r>
      <w:r>
        <w:rPr>
          <w:sz w:val="24"/>
          <w:szCs w:val="24"/>
        </w:rPr>
        <w:tab/>
      </w:r>
      <w:r>
        <w:rPr>
          <w:sz w:val="24"/>
          <w:szCs w:val="24"/>
        </w:rPr>
        <w:tab/>
      </w:r>
    </w:p>
    <w:tbl>
      <w:tblPr>
        <w:tblW w:w="0" w:type="auto"/>
        <w:tblInd w:w="390" w:type="dxa"/>
        <w:tblLayout w:type="fixed"/>
        <w:tblCellMar>
          <w:left w:w="120" w:type="dxa"/>
          <w:right w:w="120" w:type="dxa"/>
        </w:tblCellMar>
        <w:tblLook w:val="0000" w:firstRow="0" w:lastRow="0" w:firstColumn="0" w:lastColumn="0" w:noHBand="0" w:noVBand="0"/>
      </w:tblPr>
      <w:tblGrid>
        <w:gridCol w:w="4230"/>
        <w:gridCol w:w="1530"/>
      </w:tblGrid>
      <w:tr w:rsidR="00A15747">
        <w:trPr>
          <w:cantSplit/>
        </w:trPr>
        <w:tc>
          <w:tcPr>
            <w:tcW w:w="4230" w:type="dxa"/>
            <w:tcBorders>
              <w:top w:val="nil"/>
              <w:left w:val="nil"/>
              <w:bottom w:val="single" w:sz="12" w:space="0" w:color="000000"/>
              <w:right w:val="nil"/>
            </w:tcBorders>
          </w:tcPr>
          <w:p w:rsidR="00A15747" w:rsidRDefault="00A15747">
            <w:pPr>
              <w:spacing w:before="115" w:after="51"/>
              <w:rPr>
                <w:sz w:val="18"/>
                <w:szCs w:val="18"/>
              </w:rPr>
            </w:pPr>
          </w:p>
        </w:tc>
        <w:tc>
          <w:tcPr>
            <w:tcW w:w="1530" w:type="dxa"/>
            <w:tcBorders>
              <w:top w:val="nil"/>
              <w:left w:val="nil"/>
              <w:bottom w:val="single" w:sz="12" w:space="0" w:color="000000"/>
              <w:right w:val="nil"/>
            </w:tcBorders>
          </w:tcPr>
          <w:p w:rsidR="00A15747" w:rsidRDefault="00A15747">
            <w:pPr>
              <w:spacing w:before="115"/>
              <w:jc w:val="center"/>
              <w:rPr>
                <w:b/>
                <w:bCs/>
                <w:sz w:val="18"/>
                <w:szCs w:val="18"/>
              </w:rPr>
            </w:pPr>
            <w:r>
              <w:rPr>
                <w:b/>
                <w:bCs/>
                <w:sz w:val="18"/>
                <w:szCs w:val="18"/>
              </w:rPr>
              <w:t xml:space="preserve">½ Interest in </w:t>
            </w:r>
          </w:p>
          <w:p w:rsidR="00A15747" w:rsidRDefault="00A15747">
            <w:pPr>
              <w:spacing w:after="51"/>
              <w:jc w:val="center"/>
              <w:rPr>
                <w:sz w:val="18"/>
                <w:szCs w:val="18"/>
              </w:rPr>
            </w:pPr>
            <w:r>
              <w:rPr>
                <w:b/>
                <w:bCs/>
                <w:sz w:val="18"/>
                <w:szCs w:val="18"/>
              </w:rPr>
              <w:t>Homestead</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Estimated fair market value (100%)</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 xml:space="preserve">$75,000 </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Lien (100%)</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(20,000)</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Real estate commission (5%)</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(3,750)</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Closing costs</w:t>
            </w:r>
          </w:p>
        </w:tc>
        <w:tc>
          <w:tcPr>
            <w:tcW w:w="1530" w:type="dxa"/>
            <w:tcBorders>
              <w:top w:val="nil"/>
              <w:left w:val="nil"/>
              <w:bottom w:val="single" w:sz="6" w:space="0" w:color="000000"/>
              <w:right w:val="nil"/>
            </w:tcBorders>
          </w:tcPr>
          <w:p w:rsidR="00A15747" w:rsidRDefault="00A15747">
            <w:pPr>
              <w:spacing w:before="115" w:after="51"/>
              <w:jc w:val="right"/>
              <w:rPr>
                <w:sz w:val="18"/>
                <w:szCs w:val="18"/>
              </w:rPr>
            </w:pPr>
            <w:r>
              <w:rPr>
                <w:b/>
                <w:bCs/>
                <w:sz w:val="18"/>
                <w:szCs w:val="18"/>
              </w:rPr>
              <w:t>(3,000)</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 xml:space="preserve">     Net </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 xml:space="preserve">48,250 </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 xml:space="preserve"> ½ to debtor’s spouse</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(24,125)</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Estimated estate capital gain tax</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(2,000)</w:t>
            </w:r>
          </w:p>
        </w:tc>
      </w:tr>
      <w:tr w:rsidR="00A15747">
        <w:trPr>
          <w:cantSplit/>
        </w:trPr>
        <w:tc>
          <w:tcPr>
            <w:tcW w:w="4230" w:type="dxa"/>
            <w:tcBorders>
              <w:top w:val="nil"/>
              <w:left w:val="nil"/>
              <w:bottom w:val="nil"/>
              <w:right w:val="nil"/>
            </w:tcBorders>
          </w:tcPr>
          <w:p w:rsidR="00A15747" w:rsidRDefault="00A15747">
            <w:pPr>
              <w:spacing w:before="115" w:after="51"/>
              <w:rPr>
                <w:sz w:val="18"/>
                <w:szCs w:val="18"/>
              </w:rPr>
            </w:pPr>
            <w:r>
              <w:rPr>
                <w:b/>
                <w:bCs/>
                <w:sz w:val="18"/>
                <w:szCs w:val="18"/>
              </w:rPr>
              <w:t>Debtor’s state law homestead exemption</w:t>
            </w:r>
          </w:p>
        </w:tc>
        <w:tc>
          <w:tcPr>
            <w:tcW w:w="1530" w:type="dxa"/>
            <w:tcBorders>
              <w:top w:val="nil"/>
              <w:left w:val="nil"/>
              <w:bottom w:val="nil"/>
              <w:right w:val="nil"/>
            </w:tcBorders>
          </w:tcPr>
          <w:p w:rsidR="00A15747" w:rsidRDefault="00A15747">
            <w:pPr>
              <w:spacing w:before="115" w:after="51"/>
              <w:jc w:val="right"/>
              <w:rPr>
                <w:sz w:val="18"/>
                <w:szCs w:val="18"/>
              </w:rPr>
            </w:pPr>
            <w:r>
              <w:rPr>
                <w:b/>
                <w:bCs/>
                <w:sz w:val="18"/>
                <w:szCs w:val="18"/>
              </w:rPr>
              <w:t>(15,000)</w:t>
            </w:r>
          </w:p>
        </w:tc>
      </w:tr>
      <w:tr w:rsidR="00A15747">
        <w:trPr>
          <w:cantSplit/>
        </w:trPr>
        <w:tc>
          <w:tcPr>
            <w:tcW w:w="4230" w:type="dxa"/>
            <w:tcBorders>
              <w:top w:val="single" w:sz="12" w:space="0" w:color="000000"/>
              <w:left w:val="nil"/>
              <w:bottom w:val="nil"/>
              <w:right w:val="nil"/>
            </w:tcBorders>
          </w:tcPr>
          <w:p w:rsidR="00A15747" w:rsidRDefault="00A15747">
            <w:pPr>
              <w:spacing w:before="115" w:after="51"/>
              <w:rPr>
                <w:sz w:val="18"/>
                <w:szCs w:val="18"/>
              </w:rPr>
            </w:pPr>
            <w:r>
              <w:rPr>
                <w:b/>
                <w:bCs/>
                <w:sz w:val="18"/>
                <w:szCs w:val="18"/>
              </w:rPr>
              <w:t>Net benefit to the estate</w:t>
            </w:r>
          </w:p>
        </w:tc>
        <w:tc>
          <w:tcPr>
            <w:tcW w:w="1530" w:type="dxa"/>
            <w:tcBorders>
              <w:top w:val="single" w:sz="12" w:space="0" w:color="000000"/>
              <w:left w:val="nil"/>
              <w:bottom w:val="nil"/>
              <w:right w:val="nil"/>
            </w:tcBorders>
          </w:tcPr>
          <w:p w:rsidR="00A15747" w:rsidRDefault="00A15747">
            <w:pPr>
              <w:spacing w:before="115" w:after="51"/>
              <w:jc w:val="right"/>
              <w:rPr>
                <w:sz w:val="18"/>
                <w:szCs w:val="18"/>
              </w:rPr>
            </w:pPr>
            <w:r>
              <w:rPr>
                <w:b/>
                <w:bCs/>
                <w:sz w:val="18"/>
                <w:szCs w:val="18"/>
              </w:rPr>
              <w:t>$7,125</w:t>
            </w:r>
          </w:p>
        </w:tc>
      </w:tr>
    </w:tbl>
    <w:p w:rsidR="00A15747" w:rsidRDefault="00A15747" w:rsidP="00A15747">
      <w:pPr>
        <w:rPr>
          <w:sz w:val="18"/>
          <w:szCs w:val="18"/>
        </w:rPr>
      </w:pPr>
    </w:p>
    <w:p w:rsidR="00A15747" w:rsidRDefault="00A15747" w:rsidP="00A15747">
      <w:pPr>
        <w:rPr>
          <w:sz w:val="24"/>
          <w:szCs w:val="24"/>
        </w:rPr>
      </w:pPr>
      <w:r>
        <w:rPr>
          <w:sz w:val="24"/>
          <w:szCs w:val="24"/>
        </w:rPr>
        <w:t>Ward lists the house for sale and obtains an offer of $100,000.  Ward then files a motion under</w:t>
      </w:r>
    </w:p>
    <w:p w:rsidR="00A15747" w:rsidRDefault="00A15747" w:rsidP="00A15747">
      <w:pPr>
        <w:rPr>
          <w:sz w:val="24"/>
          <w:szCs w:val="24"/>
        </w:rPr>
      </w:pPr>
      <w:proofErr w:type="gramStart"/>
      <w:r>
        <w:rPr>
          <w:sz w:val="24"/>
          <w:szCs w:val="24"/>
        </w:rPr>
        <w:t>§ 363(h) to sell both the Debtor’s interest and the non-debtor’s interest in the property, and sends notice of the proposed sale to creditors.</w:t>
      </w:r>
      <w:proofErr w:type="gramEnd"/>
      <w:r>
        <w:rPr>
          <w:sz w:val="24"/>
          <w:szCs w:val="24"/>
        </w:rPr>
        <w:t xml:space="preserve">  The Debtor’s spouse objects to the sale, but the objection is overruled and the sale is approved.  Ward reflects the gross proceeds realized by the estate as $50,000 in Form 1, Column 5.  The net proceeds of $35,500 are recorded on Form 2, Column 5.  In Column 4, Ward explains the difference between the gross and net proceeds as follows: $50,000 (½ gross proceeds–UTC 1110-000), less $10,000 (½ lien – UTC 4110-000), less $2,500 (½ real estate fee– UTC 3510-000), less $1,200 (½ property taxes – UTC 4700-000 and UTC 2820-000), and less $800 (½ costs to sell–UTC 2500-000).</w:t>
      </w:r>
    </w:p>
    <w:p w:rsidR="00A15747" w:rsidRDefault="00A15747" w:rsidP="00F53B9A">
      <w:pPr>
        <w:numPr>
          <w:ilvl w:val="12"/>
          <w:numId w:val="0"/>
        </w:numPr>
        <w:rPr>
          <w:sz w:val="24"/>
          <w:szCs w:val="24"/>
        </w:rPr>
      </w:pPr>
    </w:p>
    <w:p w:rsidR="00A15747" w:rsidRDefault="00A15747" w:rsidP="00A1574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On May 15, 2003, Ward sends a $15,000 check to the Debtor for the state homestead exemption (UTC 8100-002).</w:t>
      </w:r>
    </w:p>
    <w:p w:rsidR="00A15747" w:rsidRDefault="00A15747" w:rsidP="00A15747">
      <w:pPr>
        <w:rPr>
          <w:sz w:val="24"/>
          <w:szCs w:val="24"/>
        </w:rPr>
      </w:pPr>
    </w:p>
    <w:p w:rsidR="00A15747" w:rsidRDefault="00A15747" w:rsidP="00A15747">
      <w:pPr>
        <w:rPr>
          <w:sz w:val="24"/>
          <w:szCs w:val="24"/>
        </w:rPr>
      </w:pPr>
      <w:r>
        <w:rPr>
          <w:b/>
          <w:bCs/>
          <w:sz w:val="24"/>
          <w:szCs w:val="24"/>
          <w:u w:val="single"/>
        </w:rPr>
        <w:t>1998 Ford Truck (Asset #10)</w:t>
      </w:r>
      <w:r>
        <w:rPr>
          <w:sz w:val="24"/>
          <w:szCs w:val="24"/>
        </w:rPr>
        <w:t xml:space="preserve"> - Debtor listed a 1998 Ford Truck in Schedule B valued at $8,000.  The truck is fully secured.  Ward confirms through the NADA book that the value of the truck to the estate (</w:t>
      </w:r>
      <w:proofErr w:type="gramStart"/>
      <w:r>
        <w:rPr>
          <w:sz w:val="24"/>
          <w:szCs w:val="24"/>
        </w:rPr>
        <w:t>less</w:t>
      </w:r>
      <w:proofErr w:type="gramEnd"/>
      <w:r>
        <w:rPr>
          <w:sz w:val="24"/>
          <w:szCs w:val="24"/>
        </w:rPr>
        <w:t xml:space="preserve"> liens) is -0-.  Ward cannot determine if the truck is covered by casualty insurance and, therefore, files a motion to abandon the truck pursuant to § 554(a) to protect the estate from any liability.  No objections are filed.  Ward posts the value of the truck as -0- on Form 1, Column 3.  Ward also notes in Column 4 that the asset has been abandoned by court order (OA)  and in Column 6 that it is fully administered (FA).</w:t>
      </w:r>
    </w:p>
    <w:p w:rsidR="00A15747" w:rsidRDefault="00A15747" w:rsidP="00A15747">
      <w:pPr>
        <w:rPr>
          <w:sz w:val="24"/>
          <w:szCs w:val="24"/>
        </w:rPr>
      </w:pPr>
    </w:p>
    <w:p w:rsidR="00A15747" w:rsidRDefault="00A15747" w:rsidP="00A15747">
      <w:pPr>
        <w:rPr>
          <w:sz w:val="24"/>
          <w:szCs w:val="24"/>
        </w:rPr>
      </w:pPr>
      <w:r>
        <w:rPr>
          <w:b/>
          <w:bCs/>
          <w:sz w:val="24"/>
          <w:szCs w:val="24"/>
          <w:u w:val="single"/>
        </w:rPr>
        <w:t>ABC Preference (Asset #11)</w:t>
      </w:r>
      <w:r>
        <w:rPr>
          <w:sz w:val="24"/>
          <w:szCs w:val="24"/>
        </w:rPr>
        <w:t xml:space="preserve"> - Debtor disclosed in response to Statement of Financial Affairs, Question #3, that numerous payments were made to ABC Supply Company within 90 days prior to bankruptcy.  Ward’s investigation reveals that approximately $5,000 was paid by the Debtor to ABC Supply Company on account of an antecedent debt within the preference period.  Ward lists the preference action as a scheduled asset with an “unknown” value in Form 1, Column 2, and discloses the estimated net value as $5,000 in Form 1, Column 3.  </w:t>
      </w:r>
    </w:p>
    <w:p w:rsidR="00A15747" w:rsidRDefault="00A15747" w:rsidP="00C54DCB">
      <w:pPr>
        <w:pStyle w:val="FootnoteText"/>
        <w:rPr>
          <w:sz w:val="24"/>
          <w:szCs w:val="24"/>
        </w:rPr>
      </w:pPr>
      <w:r>
        <w:rPr>
          <w:sz w:val="24"/>
          <w:szCs w:val="24"/>
        </w:rPr>
        <w:br w:type="page"/>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Ward commences an adversary proceeding to recover the preference under § 547(b).  In its answer, ABC Supply Company alleges that the transfer constituted a contemporaneous exchange for new value to the Debtor which cannot be avoided under § 547(c</w:t>
      </w:r>
      <w:proofErr w:type="gramStart"/>
      <w:r>
        <w:rPr>
          <w:sz w:val="24"/>
          <w:szCs w:val="24"/>
        </w:rPr>
        <w:t>)(</w:t>
      </w:r>
      <w:proofErr w:type="gramEnd"/>
      <w:r>
        <w:rPr>
          <w:sz w:val="24"/>
          <w:szCs w:val="24"/>
        </w:rPr>
        <w:t>4).  Because negotiations to settle the preference action for $2,000 are pending, Ward records the remaining value of the preference action to be administered as $2,000 in Form 1, Column 6.  Ward explains this new valuation</w:t>
      </w:r>
      <w:r w:rsidR="00C54DCB">
        <w:rPr>
          <w:sz w:val="24"/>
          <w:szCs w:val="24"/>
        </w:rPr>
        <w:t xml:space="preserve"> (</w:t>
      </w:r>
      <w:r w:rsidR="00C54DCB" w:rsidRPr="00C54DCB">
        <w:rPr>
          <w:sz w:val="24"/>
          <w:szCs w:val="24"/>
        </w:rPr>
        <w:t xml:space="preserve">the costs to file and settle the </w:t>
      </w:r>
      <w:proofErr w:type="gramStart"/>
      <w:r w:rsidR="00C54DCB" w:rsidRPr="00C54DCB">
        <w:rPr>
          <w:sz w:val="24"/>
          <w:szCs w:val="24"/>
        </w:rPr>
        <w:t>adversary are</w:t>
      </w:r>
      <w:proofErr w:type="gramEnd"/>
      <w:r w:rsidR="00C54DCB" w:rsidRPr="00C54DCB">
        <w:rPr>
          <w:sz w:val="24"/>
          <w:szCs w:val="24"/>
        </w:rPr>
        <w:t xml:space="preserve"> negligible)</w:t>
      </w:r>
      <w:r w:rsidR="00C54DCB">
        <w:rPr>
          <w:sz w:val="24"/>
          <w:szCs w:val="24"/>
        </w:rPr>
        <w:t xml:space="preserve"> </w:t>
      </w:r>
      <w:r>
        <w:rPr>
          <w:sz w:val="24"/>
          <w:szCs w:val="24"/>
        </w:rPr>
        <w:t xml:space="preserve">in a note on Form 1, and further notes as a “major activity affecting case closing” that settlement negotiations are pending in the case.  </w:t>
      </w:r>
    </w:p>
    <w:p w:rsidR="00A15747" w:rsidRDefault="00A15747" w:rsidP="00A15747">
      <w:pPr>
        <w:rPr>
          <w:sz w:val="24"/>
          <w:szCs w:val="24"/>
        </w:rPr>
      </w:pPr>
    </w:p>
    <w:p w:rsidR="00A15747" w:rsidRDefault="00A15747" w:rsidP="00A15747">
      <w:pPr>
        <w:rPr>
          <w:sz w:val="24"/>
          <w:szCs w:val="24"/>
        </w:rPr>
      </w:pPr>
      <w:r>
        <w:rPr>
          <w:sz w:val="24"/>
          <w:szCs w:val="24"/>
        </w:rPr>
        <w:t>Upon receipt of the preference action settlement proceeds, Ward will use UTC 1141-000, Scheduled Preference/Fraudulent Transfer Litigation, when recording the deposit on Form 2.</w:t>
      </w:r>
    </w:p>
    <w:p w:rsidR="00A15747" w:rsidRDefault="00A15747" w:rsidP="00A15747">
      <w:pPr>
        <w:rPr>
          <w:sz w:val="24"/>
          <w:szCs w:val="24"/>
        </w:rPr>
      </w:pPr>
      <w:r>
        <w:rPr>
          <w:sz w:val="24"/>
          <w:szCs w:val="24"/>
        </w:rPr>
        <w:t xml:space="preserve">   </w:t>
      </w:r>
    </w:p>
    <w:p w:rsidR="00A15747" w:rsidRDefault="00A15747" w:rsidP="00A15747">
      <w:pPr>
        <w:rPr>
          <w:sz w:val="24"/>
          <w:szCs w:val="24"/>
        </w:rPr>
      </w:pPr>
      <w:r>
        <w:rPr>
          <w:b/>
          <w:bCs/>
          <w:sz w:val="24"/>
          <w:szCs w:val="24"/>
          <w:u w:val="single"/>
        </w:rPr>
        <w:t>Personal Injury Suit (Asset #13)</w:t>
      </w:r>
      <w:r>
        <w:rPr>
          <w:sz w:val="24"/>
          <w:szCs w:val="24"/>
        </w:rPr>
        <w:t xml:space="preserve"> - Late in June 2003, the Debtor’s attorney notified Ward concerning the pendency of a lawsuit in state court involving a pre-petition personal injury claim that the Debtor failed to list in Schedule B or disclose at the § 341(a) meeting.  Having insufficient time to determine the value of the asset to the estate, Ward lists the value of the unscheduled personal injury claim as “unknown” in Form 1, Columns 2, 3, and 6.  Ward notes on Form 1 as a “major activity affecting case closing” that a meeting with special counsel concerning the case is set on August 2, 2003, and that trial is anticipated during the month of January 2004. </w:t>
      </w:r>
    </w:p>
    <w:p w:rsidR="00A15747" w:rsidRDefault="00A15747" w:rsidP="00F53B9A">
      <w:pPr>
        <w:numPr>
          <w:ilvl w:val="12"/>
          <w:numId w:val="0"/>
        </w:numPr>
        <w:rPr>
          <w:sz w:val="24"/>
          <w:szCs w:val="24"/>
        </w:rPr>
      </w:pPr>
    </w:p>
    <w:p w:rsidR="00A15747" w:rsidRDefault="00A15747" w:rsidP="00A1574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Upon receipt of the proceeds from the personal injury action, if any, Ward will use </w:t>
      </w:r>
    </w:p>
    <w:p w:rsidR="00A15747" w:rsidRDefault="00A15747" w:rsidP="00A15747">
      <w:pPr>
        <w:rPr>
          <w:sz w:val="24"/>
          <w:szCs w:val="24"/>
        </w:rPr>
      </w:pPr>
      <w:proofErr w:type="gramStart"/>
      <w:r>
        <w:rPr>
          <w:sz w:val="24"/>
          <w:szCs w:val="24"/>
        </w:rPr>
        <w:t>UTC 1242-000, Unscheduled Personal Injury Litigation, when recording the deposit on Form 2.</w:t>
      </w:r>
      <w:proofErr w:type="gramEnd"/>
      <w:r>
        <w:rPr>
          <w:sz w:val="24"/>
          <w:szCs w:val="24"/>
        </w:rPr>
        <w:t xml:space="preserve">  Any fees paid to the special counsel will be coded with UTC 3210-000 (or 3210-600 in those jurisdictions using the “60” sub-code).</w:t>
      </w:r>
    </w:p>
    <w:p w:rsidR="00A15747" w:rsidRDefault="00A15747" w:rsidP="00A15747">
      <w:pPr>
        <w:rPr>
          <w:b/>
          <w:bCs/>
          <w:sz w:val="24"/>
          <w:szCs w:val="24"/>
          <w:u w:val="single"/>
        </w:rPr>
      </w:pPr>
    </w:p>
    <w:p w:rsidR="00A15747" w:rsidRDefault="00A15747" w:rsidP="00A15747">
      <w:pPr>
        <w:rPr>
          <w:sz w:val="24"/>
          <w:szCs w:val="24"/>
        </w:rPr>
      </w:pPr>
      <w:r>
        <w:rPr>
          <w:b/>
          <w:bCs/>
          <w:sz w:val="24"/>
          <w:szCs w:val="24"/>
          <w:u w:val="single"/>
        </w:rPr>
        <w:t xml:space="preserve">Fraudulent Transfer to </w:t>
      </w:r>
      <w:proofErr w:type="gramStart"/>
      <w:r>
        <w:rPr>
          <w:b/>
          <w:bCs/>
          <w:sz w:val="24"/>
          <w:szCs w:val="24"/>
          <w:u w:val="single"/>
        </w:rPr>
        <w:t>Sister  (</w:t>
      </w:r>
      <w:proofErr w:type="gramEnd"/>
      <w:r>
        <w:rPr>
          <w:b/>
          <w:bCs/>
          <w:sz w:val="24"/>
          <w:szCs w:val="24"/>
          <w:u w:val="single"/>
        </w:rPr>
        <w:t>Asset #14)</w:t>
      </w:r>
      <w:r>
        <w:rPr>
          <w:sz w:val="24"/>
          <w:szCs w:val="24"/>
        </w:rPr>
        <w:t xml:space="preserve"> - Ward learns that the Debtor transferred a substantial amount of jewelry to his sister within 12 months prior to bankruptcy.  The jewelry was not disclosed in Schedule B nor was the transfer disclosed in the statement of financial affairs.  Ward retains the Jones Law Firm as counsel and commences a fraudulent transfer action against the Debtor’s sister for recovery of the jewelry.  The litigation is still pending.  Ward’s counsel is awarded interim fees of $2,000 on May 12, 2003.  Ward lists the value of the unscheduled fraudulent transfer action as $20,000 in Form 1, Columns 2, 3, and 6.  Ward records the disbursement of interim attorney’s fees to the Jones Law Firm in Form 2 (UTC 3210-000, Attorney for Trustee Fees, Other Firm), and notes on Form 1 as a “major activity affecting case closing” that settlement negotiations are pending in the case.</w:t>
      </w:r>
    </w:p>
    <w:p w:rsidR="00A15747" w:rsidRDefault="00A15747" w:rsidP="00A15747">
      <w:pPr>
        <w:rPr>
          <w:sz w:val="24"/>
          <w:szCs w:val="24"/>
        </w:rPr>
      </w:pPr>
    </w:p>
    <w:p w:rsidR="00A15747" w:rsidRDefault="00A15747" w:rsidP="00A15747">
      <w:pPr>
        <w:rPr>
          <w:sz w:val="24"/>
          <w:szCs w:val="24"/>
        </w:rPr>
      </w:pPr>
      <w:r>
        <w:rPr>
          <w:b/>
          <w:bCs/>
          <w:sz w:val="24"/>
          <w:szCs w:val="24"/>
          <w:u w:val="single"/>
        </w:rPr>
        <w:t>Interest Earned (Asset #15)</w:t>
      </w:r>
      <w:r>
        <w:rPr>
          <w:sz w:val="24"/>
          <w:szCs w:val="24"/>
        </w:rPr>
        <w:t xml:space="preserve"> - To maximize the return to creditors, Ward deposits estate funds to money market and savings accounts, and periodically invests estate funds exceeding her day-to-day requirements in certificates of deposit (CDs).  </w:t>
      </w:r>
      <w:r w:rsidRPr="005D4E75">
        <w:rPr>
          <w:sz w:val="24"/>
          <w:szCs w:val="24"/>
        </w:rPr>
        <w:t xml:space="preserve">The asset is identified on Form 1 as unscheduled with a “u”. </w:t>
      </w:r>
      <w:r>
        <w:rPr>
          <w:sz w:val="24"/>
          <w:szCs w:val="24"/>
        </w:rPr>
        <w:t xml:space="preserve"> The total amount of interest to be earned is designated as “N/A” in Form 1, Column 3.  Ward posts the amount of interest actually collected on Form 1, Column 5, and on Form 2 (using UTC 1270-000).  Ward records the amount of interest remaining to be collected as “unknown” on Form 1, Column 6.</w:t>
      </w:r>
    </w:p>
    <w:p w:rsidR="005E7587" w:rsidRDefault="005E7587" w:rsidP="00A15747">
      <w:pPr>
        <w:rPr>
          <w:sz w:val="24"/>
          <w:szCs w:val="24"/>
        </w:rPr>
      </w:pPr>
    </w:p>
    <w:p w:rsidR="00C54DCB" w:rsidRDefault="00C54DCB" w:rsidP="00A15747">
      <w:pPr>
        <w:rPr>
          <w:sz w:val="24"/>
          <w:szCs w:val="24"/>
          <w:lang w:val="en-CA"/>
        </w:rPr>
      </w:pPr>
    </w:p>
    <w:p w:rsidR="00A15747" w:rsidRDefault="00A15747" w:rsidP="00A15747">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u w:val="single"/>
        </w:rPr>
        <w:t>Mistaken Deposit</w:t>
      </w:r>
      <w:r>
        <w:rPr>
          <w:sz w:val="24"/>
          <w:szCs w:val="24"/>
        </w:rPr>
        <w:t xml:space="preserve"> - On April 25, 2003, Ward mistakenly deposits $500,000 to this case.  The funds belong to the unrelated Steve Martin case.  On May 1, 2003, after the April interest has been posted, Ward realizes her error.  Ward determines the amount of interest allocable to the mis-deposit and writes a check for the amount of the error plus interest and deposits the check to the correct account.  The check is posted as a negative receipt on Form 2, Column 5, so that the column totals are not overstated.  UTC 1280-002 is used for recording on Form 2 the mis-deposit, the interest on the mis-deposit, and the check issued to correct the error.</w:t>
      </w:r>
    </w:p>
    <w:p w:rsidR="00A15747" w:rsidRDefault="00A15747" w:rsidP="00A15747">
      <w:pPr>
        <w:rPr>
          <w:sz w:val="24"/>
          <w:szCs w:val="24"/>
        </w:rPr>
      </w:pPr>
    </w:p>
    <w:p w:rsidR="00A15747" w:rsidRDefault="00A15747" w:rsidP="00A15747">
      <w:pPr>
        <w:rPr>
          <w:sz w:val="24"/>
          <w:szCs w:val="24"/>
        </w:rPr>
      </w:pPr>
      <w:r>
        <w:rPr>
          <w:b/>
          <w:bCs/>
          <w:sz w:val="24"/>
          <w:szCs w:val="24"/>
          <w:u w:val="single"/>
        </w:rPr>
        <w:t>Bond Premium</w:t>
      </w:r>
      <w:r>
        <w:rPr>
          <w:sz w:val="24"/>
          <w:szCs w:val="24"/>
        </w:rPr>
        <w:t xml:space="preserve"> - On May 1, 2003, Ward makes a disbursement of $100 to Green Bond Co. in payment of the bond premium attributable to this estate.  Ward records the disbursement for the bond premium on Form 2 (UTC 2300-000). </w:t>
      </w:r>
    </w:p>
    <w:p w:rsidR="00A15747" w:rsidRDefault="00A15747" w:rsidP="00A15747">
      <w:pPr>
        <w:rPr>
          <w:sz w:val="24"/>
          <w:szCs w:val="24"/>
        </w:rPr>
      </w:pPr>
    </w:p>
    <w:p w:rsidR="00A15747" w:rsidRDefault="00A15747" w:rsidP="00A15747">
      <w:pPr>
        <w:rPr>
          <w:sz w:val="24"/>
          <w:szCs w:val="24"/>
        </w:rPr>
      </w:pPr>
    </w:p>
    <w:p w:rsidR="00A15747" w:rsidRDefault="00A15747" w:rsidP="00A15747">
      <w:pPr>
        <w:rPr>
          <w:sz w:val="24"/>
          <w:szCs w:val="24"/>
        </w:rPr>
      </w:pPr>
    </w:p>
    <w:p w:rsidR="00A15747" w:rsidRDefault="00A15747" w:rsidP="00A15747">
      <w:pPr>
        <w:rPr>
          <w:sz w:val="24"/>
          <w:szCs w:val="24"/>
        </w:rPr>
      </w:pPr>
      <w:r>
        <w:rPr>
          <w:sz w:val="24"/>
          <w:szCs w:val="24"/>
        </w:rPr>
        <w:t>Because the case is still open at the end of the annual reporting period, Ward completes the bottom section of Form 1 detailing the matters still pending in the case and provides an updated estimate as to when a final report (TFR) will be filed for this estate.</w:t>
      </w:r>
    </w:p>
    <w:p w:rsidR="00A15747" w:rsidRDefault="00A15747" w:rsidP="00F53B9A">
      <w:pPr>
        <w:numPr>
          <w:ilvl w:val="12"/>
          <w:numId w:val="0"/>
        </w:numPr>
        <w:rPr>
          <w:sz w:val="24"/>
          <w:szCs w:val="24"/>
        </w:rPr>
      </w:pPr>
    </w:p>
    <w:p w:rsidR="00A15747" w:rsidRDefault="00A15747" w:rsidP="00F53B9A">
      <w:pPr>
        <w:numPr>
          <w:ilvl w:val="12"/>
          <w:numId w:val="0"/>
        </w:numPr>
        <w:rPr>
          <w:sz w:val="24"/>
          <w:szCs w:val="24"/>
        </w:rPr>
      </w:pPr>
    </w:p>
    <w:p w:rsidR="00A15747" w:rsidRDefault="00A15747" w:rsidP="00F53B9A">
      <w:pPr>
        <w:numPr>
          <w:ilvl w:val="12"/>
          <w:numId w:val="0"/>
        </w:numPr>
        <w:rPr>
          <w:sz w:val="24"/>
          <w:szCs w:val="24"/>
        </w:rPr>
      </w:pPr>
    </w:p>
    <w:p w:rsidR="00A15747" w:rsidRDefault="00A15747" w:rsidP="00F53B9A">
      <w:pPr>
        <w:numPr>
          <w:ilvl w:val="12"/>
          <w:numId w:val="0"/>
        </w:numPr>
        <w:rPr>
          <w:sz w:val="24"/>
          <w:szCs w:val="24"/>
        </w:rPr>
        <w:sectPr w:rsidR="00A15747" w:rsidSect="00344E54">
          <w:footerReference w:type="default" r:id="rId10"/>
          <w:type w:val="continuous"/>
          <w:pgSz w:w="12240" w:h="15840"/>
          <w:pgMar w:top="1440" w:right="1440" w:bottom="1440" w:left="1440" w:header="576" w:footer="288" w:gutter="0"/>
          <w:pgNumType w:start="1"/>
          <w:cols w:space="720"/>
          <w:docGrid w:linePitch="272"/>
        </w:sectPr>
      </w:pPr>
    </w:p>
    <w:p w:rsidR="00A845D9" w:rsidRDefault="00A845D9" w:rsidP="00A845D9">
      <w:pPr>
        <w:jc w:val="cente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FORM 1</w:t>
      </w:r>
    </w:p>
    <w:p w:rsidR="00A845D9" w:rsidRDefault="00A845D9" w:rsidP="00A845D9">
      <w:pPr>
        <w:jc w:val="center"/>
      </w:pPr>
      <w:r>
        <w:t>INDIVIDUAL ESTATE PROPERTY RECORD AND REPORT</w:t>
      </w:r>
    </w:p>
    <w:p w:rsidR="00A845D9" w:rsidRDefault="00A845D9" w:rsidP="00A845D9">
      <w:pPr>
        <w:jc w:val="center"/>
      </w:pPr>
      <w:r>
        <w:t>ASSET CASES</w:t>
      </w:r>
    </w:p>
    <w:p w:rsidR="00A845D9" w:rsidRDefault="00A845D9" w:rsidP="00A845D9"/>
    <w:p w:rsidR="00A845D9" w:rsidRDefault="00A845D9" w:rsidP="00A84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512" w:hanging="10512"/>
      </w:pPr>
      <w:r>
        <w:t xml:space="preserve"> Case No.: </w:t>
      </w:r>
      <w:r>
        <w:tab/>
      </w:r>
      <w:r>
        <w:tab/>
      </w:r>
      <w:r>
        <w:rPr>
          <w:u w:val="single"/>
        </w:rPr>
        <w:t>416-02-75484</w:t>
      </w:r>
      <w:r>
        <w:tab/>
      </w:r>
      <w:r>
        <w:tab/>
      </w:r>
      <w:r>
        <w:tab/>
      </w:r>
      <w:r>
        <w:tab/>
      </w:r>
      <w:r>
        <w:tab/>
      </w:r>
      <w:r>
        <w:tab/>
      </w:r>
      <w:r>
        <w:tab/>
      </w:r>
      <w:r>
        <w:tab/>
      </w:r>
      <w:r>
        <w:tab/>
      </w:r>
      <w:r>
        <w:tab/>
        <w:t>Trustee Name:</w:t>
      </w:r>
      <w:r>
        <w:tab/>
      </w:r>
      <w:r>
        <w:tab/>
      </w:r>
      <w:r>
        <w:tab/>
      </w:r>
      <w:r>
        <w:rPr>
          <w:u w:val="single"/>
        </w:rPr>
        <w:t>Jenny Ward</w:t>
      </w:r>
      <w:r>
        <w:t xml:space="preserve">     </w:t>
      </w:r>
    </w:p>
    <w:p w:rsidR="00A845D9" w:rsidRDefault="00A845D9" w:rsidP="00A84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952" w:hanging="11952"/>
      </w:pPr>
      <w:r>
        <w:t xml:space="preserve"> Case Name: </w:t>
      </w:r>
      <w:r>
        <w:tab/>
      </w:r>
      <w:r>
        <w:tab/>
      </w:r>
      <w:r>
        <w:rPr>
          <w:u w:val="single"/>
        </w:rPr>
        <w:t xml:space="preserve">Sam Martin d/b/a Martin Cards </w:t>
      </w:r>
      <w:r>
        <w:t xml:space="preserve">               </w:t>
      </w:r>
      <w:r>
        <w:tab/>
      </w:r>
      <w:r>
        <w:tab/>
      </w:r>
      <w:r>
        <w:tab/>
      </w:r>
      <w:r>
        <w:tab/>
      </w:r>
      <w:r>
        <w:tab/>
      </w:r>
      <w:r>
        <w:tab/>
      </w:r>
      <w:r>
        <w:tab/>
        <w:t>Date Filed (f) or Converted (c):</w:t>
      </w:r>
      <w:r>
        <w:tab/>
      </w:r>
      <w:r>
        <w:rPr>
          <w:u w:val="single"/>
        </w:rPr>
        <w:t>11/20/02(f)</w:t>
      </w:r>
    </w:p>
    <w:p w:rsidR="00A845D9" w:rsidRDefault="00A845D9" w:rsidP="00A845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232" w:hanging="11232"/>
      </w:pPr>
      <w:r>
        <w:t xml:space="preserve"> For Period Ending: </w:t>
      </w:r>
      <w:r>
        <w:tab/>
      </w:r>
      <w:r>
        <w:rPr>
          <w:u w:val="single"/>
        </w:rPr>
        <w:t xml:space="preserve">6/30/03                                       </w:t>
      </w:r>
      <w:r>
        <w:t xml:space="preserve"> </w:t>
      </w:r>
      <w:r>
        <w:tab/>
      </w:r>
      <w:r>
        <w:tab/>
      </w:r>
      <w:r>
        <w:tab/>
      </w:r>
      <w:r>
        <w:tab/>
      </w:r>
      <w:r>
        <w:tab/>
      </w:r>
      <w:r>
        <w:tab/>
      </w:r>
      <w:r>
        <w:tab/>
      </w:r>
      <w:r>
        <w:tab/>
        <w:t>§ 341(a) Meeting Date:</w:t>
      </w:r>
      <w:r>
        <w:tab/>
      </w:r>
      <w:r>
        <w:tab/>
      </w:r>
      <w:r>
        <w:rPr>
          <w:u w:val="single"/>
        </w:rPr>
        <w:t>12/20/02</w:t>
      </w:r>
      <w:r>
        <w:t xml:space="preserve"> </w:t>
      </w:r>
    </w:p>
    <w:p w:rsidR="00A845D9" w:rsidRPr="00F53B9A" w:rsidRDefault="00A845D9" w:rsidP="00A845D9">
      <w:pPr>
        <w:numPr>
          <w:ilvl w:val="12"/>
          <w:numId w:val="0"/>
        </w:numPr>
        <w:rPr>
          <w:sz w:val="24"/>
          <w:szCs w:val="24"/>
        </w:rPr>
      </w:pPr>
      <w:r>
        <w:t xml:space="preserve">  </w:t>
      </w:r>
      <w:r>
        <w:tab/>
      </w:r>
      <w:r>
        <w:tab/>
      </w:r>
      <w:r>
        <w:tab/>
      </w:r>
      <w:r>
        <w:tab/>
      </w:r>
      <w:r>
        <w:tab/>
      </w:r>
      <w:r>
        <w:tab/>
      </w:r>
      <w:r>
        <w:tab/>
      </w:r>
      <w:r>
        <w:tab/>
      </w:r>
      <w:r>
        <w:tab/>
      </w:r>
      <w:r>
        <w:tab/>
      </w:r>
      <w:r>
        <w:tab/>
      </w:r>
      <w:r>
        <w:tab/>
      </w:r>
      <w:r>
        <w:tab/>
      </w:r>
      <w:r>
        <w:tab/>
        <w:t xml:space="preserve">Claims </w:t>
      </w:r>
      <w:proofErr w:type="gramStart"/>
      <w:r>
        <w:t>Bar</w:t>
      </w:r>
      <w:proofErr w:type="gramEnd"/>
      <w:r>
        <w:t xml:space="preserve"> Date:</w:t>
      </w:r>
      <w:r>
        <w:tab/>
      </w:r>
      <w:r>
        <w:tab/>
      </w:r>
      <w:r>
        <w:tab/>
      </w:r>
      <w:r>
        <w:rPr>
          <w:u w:val="single"/>
        </w:rPr>
        <w:t>3/20/03</w:t>
      </w:r>
      <w:r>
        <w:t xml:space="preserve">           </w:t>
      </w:r>
      <w:r>
        <w:rPr>
          <w:sz w:val="24"/>
          <w:szCs w:val="24"/>
        </w:rPr>
        <w:t xml:space="preserve">     </w:t>
      </w:r>
    </w:p>
    <w:tbl>
      <w:tblPr>
        <w:tblW w:w="0" w:type="auto"/>
        <w:tblInd w:w="-340" w:type="dxa"/>
        <w:tblLayout w:type="fixed"/>
        <w:tblCellMar>
          <w:left w:w="110" w:type="dxa"/>
          <w:right w:w="110" w:type="dxa"/>
        </w:tblCellMar>
        <w:tblLook w:val="0000" w:firstRow="0" w:lastRow="0" w:firstColumn="0" w:lastColumn="0" w:noHBand="0" w:noVBand="0"/>
      </w:tblPr>
      <w:tblGrid>
        <w:gridCol w:w="450"/>
        <w:gridCol w:w="2880"/>
        <w:gridCol w:w="1440"/>
        <w:gridCol w:w="2520"/>
        <w:gridCol w:w="2070"/>
        <w:gridCol w:w="1710"/>
        <w:gridCol w:w="3060"/>
      </w:tblGrid>
      <w:tr w:rsidR="00A845D9" w:rsidTr="00A845D9">
        <w:trPr>
          <w:cantSplit/>
        </w:trPr>
        <w:tc>
          <w:tcPr>
            <w:tcW w:w="3330" w:type="dxa"/>
            <w:gridSpan w:val="2"/>
            <w:tcBorders>
              <w:top w:val="double" w:sz="9" w:space="0" w:color="000000"/>
              <w:left w:val="double" w:sz="9" w:space="0" w:color="000000"/>
              <w:bottom w:val="nil"/>
              <w:right w:val="nil"/>
            </w:tcBorders>
          </w:tcPr>
          <w:p w:rsidR="00A845D9" w:rsidRPr="00A845D9" w:rsidRDefault="00A845D9">
            <w:pPr>
              <w:keepLines/>
              <w:spacing w:before="15"/>
              <w:jc w:val="center"/>
            </w:pPr>
            <w:r w:rsidRPr="00A845D9">
              <w:rPr>
                <w:lang w:val="en-CA"/>
              </w:rPr>
              <w:fldChar w:fldCharType="begin"/>
            </w:r>
            <w:r w:rsidRPr="00A845D9">
              <w:rPr>
                <w:lang w:val="en-CA"/>
              </w:rPr>
              <w:instrText xml:space="preserve"> SEQ CHAPTER \h \r 1</w:instrText>
            </w:r>
            <w:r w:rsidRPr="00A845D9">
              <w:rPr>
                <w:lang w:val="en-CA"/>
              </w:rPr>
              <w:fldChar w:fldCharType="end"/>
            </w:r>
            <w:r w:rsidRPr="00A845D9">
              <w:t xml:space="preserve">       1   </w:t>
            </w:r>
          </w:p>
        </w:tc>
        <w:tc>
          <w:tcPr>
            <w:tcW w:w="1440" w:type="dxa"/>
            <w:tcBorders>
              <w:top w:val="double" w:sz="9" w:space="0" w:color="000000"/>
              <w:left w:val="single" w:sz="6" w:space="0" w:color="000000"/>
              <w:bottom w:val="nil"/>
              <w:right w:val="nil"/>
            </w:tcBorders>
          </w:tcPr>
          <w:p w:rsidR="00A845D9" w:rsidRPr="00A845D9" w:rsidRDefault="00A845D9">
            <w:pPr>
              <w:spacing w:before="15"/>
              <w:jc w:val="center"/>
            </w:pPr>
            <w:r w:rsidRPr="00A845D9">
              <w:t>2</w:t>
            </w:r>
          </w:p>
        </w:tc>
        <w:tc>
          <w:tcPr>
            <w:tcW w:w="2520" w:type="dxa"/>
            <w:tcBorders>
              <w:top w:val="double" w:sz="9" w:space="0" w:color="000000"/>
              <w:left w:val="single" w:sz="6" w:space="0" w:color="000000"/>
              <w:bottom w:val="nil"/>
              <w:right w:val="nil"/>
            </w:tcBorders>
          </w:tcPr>
          <w:p w:rsidR="00A845D9" w:rsidRPr="00A845D9" w:rsidRDefault="00A845D9" w:rsidP="00A845D9">
            <w:pPr>
              <w:spacing w:before="15"/>
              <w:jc w:val="center"/>
            </w:pPr>
            <w:r w:rsidRPr="00A845D9">
              <w:t xml:space="preserve">  3</w:t>
            </w:r>
          </w:p>
        </w:tc>
        <w:tc>
          <w:tcPr>
            <w:tcW w:w="2070" w:type="dxa"/>
            <w:tcBorders>
              <w:top w:val="double" w:sz="9" w:space="0" w:color="000000"/>
              <w:left w:val="single" w:sz="6" w:space="0" w:color="000000"/>
              <w:bottom w:val="nil"/>
              <w:right w:val="nil"/>
            </w:tcBorders>
          </w:tcPr>
          <w:p w:rsidR="00A845D9" w:rsidRPr="00A845D9" w:rsidRDefault="00A845D9">
            <w:pPr>
              <w:spacing w:before="15"/>
              <w:jc w:val="center"/>
            </w:pPr>
            <w:r w:rsidRPr="00A845D9">
              <w:t>4</w:t>
            </w:r>
          </w:p>
        </w:tc>
        <w:tc>
          <w:tcPr>
            <w:tcW w:w="1710" w:type="dxa"/>
            <w:tcBorders>
              <w:top w:val="double" w:sz="9" w:space="0" w:color="000000"/>
              <w:left w:val="single" w:sz="6" w:space="0" w:color="000000"/>
              <w:bottom w:val="nil"/>
              <w:right w:val="nil"/>
            </w:tcBorders>
          </w:tcPr>
          <w:p w:rsidR="00A845D9" w:rsidRPr="00A845D9" w:rsidRDefault="00A845D9">
            <w:pPr>
              <w:spacing w:before="15"/>
              <w:jc w:val="center"/>
            </w:pPr>
            <w:r w:rsidRPr="00A845D9">
              <w:t>5</w:t>
            </w:r>
          </w:p>
        </w:tc>
        <w:tc>
          <w:tcPr>
            <w:tcW w:w="3060" w:type="dxa"/>
            <w:tcBorders>
              <w:top w:val="double" w:sz="9" w:space="0" w:color="000000"/>
              <w:left w:val="single" w:sz="6" w:space="0" w:color="000000"/>
              <w:bottom w:val="nil"/>
              <w:right w:val="double" w:sz="9" w:space="0" w:color="000000"/>
            </w:tcBorders>
          </w:tcPr>
          <w:p w:rsidR="00A845D9" w:rsidRPr="00A845D9" w:rsidRDefault="00A845D9">
            <w:pPr>
              <w:spacing w:before="15"/>
              <w:jc w:val="center"/>
            </w:pPr>
            <w:r w:rsidRPr="00A845D9">
              <w:t>6</w:t>
            </w:r>
          </w:p>
        </w:tc>
      </w:tr>
      <w:tr w:rsidR="00A845D9" w:rsidTr="00A845D9">
        <w:trPr>
          <w:cantSplit/>
        </w:trPr>
        <w:tc>
          <w:tcPr>
            <w:tcW w:w="3330" w:type="dxa"/>
            <w:gridSpan w:val="2"/>
            <w:tcBorders>
              <w:top w:val="single" w:sz="6" w:space="0" w:color="000000"/>
              <w:left w:val="double" w:sz="9" w:space="0" w:color="000000"/>
              <w:bottom w:val="single" w:sz="6" w:space="0" w:color="000000"/>
              <w:right w:val="nil"/>
            </w:tcBorders>
          </w:tcPr>
          <w:p w:rsidR="00A845D9" w:rsidRPr="00A845D9" w:rsidRDefault="00A845D9">
            <w:pPr>
              <w:spacing w:before="15"/>
              <w:jc w:val="center"/>
            </w:pPr>
            <w:r w:rsidRPr="00A845D9">
              <w:t>Asset Description</w:t>
            </w:r>
          </w:p>
          <w:p w:rsidR="00A845D9" w:rsidRPr="00A845D9" w:rsidRDefault="00A845D9">
            <w:pPr>
              <w:jc w:val="center"/>
            </w:pPr>
            <w:r w:rsidRPr="00A845D9">
              <w:t xml:space="preserve"> (Scheduled and </w:t>
            </w:r>
          </w:p>
          <w:p w:rsidR="00A845D9" w:rsidRPr="00A845D9" w:rsidRDefault="00A845D9">
            <w:pPr>
              <w:jc w:val="center"/>
            </w:pPr>
            <w:r w:rsidRPr="00A845D9">
              <w:t>Unscheduled (u) Property)</w:t>
            </w:r>
          </w:p>
        </w:tc>
        <w:tc>
          <w:tcPr>
            <w:tcW w:w="1440" w:type="dxa"/>
            <w:tcBorders>
              <w:top w:val="single" w:sz="6" w:space="0" w:color="000000"/>
              <w:left w:val="single" w:sz="6" w:space="0" w:color="000000"/>
              <w:bottom w:val="nil"/>
              <w:right w:val="nil"/>
            </w:tcBorders>
          </w:tcPr>
          <w:p w:rsidR="00A845D9" w:rsidRPr="00A845D9" w:rsidRDefault="00A845D9">
            <w:pPr>
              <w:spacing w:before="15"/>
              <w:jc w:val="center"/>
            </w:pPr>
            <w:r w:rsidRPr="00A845D9">
              <w:t>Petition/</w:t>
            </w:r>
          </w:p>
          <w:p w:rsidR="00A845D9" w:rsidRPr="00A845D9" w:rsidRDefault="00A845D9">
            <w:pPr>
              <w:jc w:val="center"/>
            </w:pPr>
            <w:r w:rsidRPr="00A845D9">
              <w:t>Unscheduled</w:t>
            </w:r>
          </w:p>
          <w:p w:rsidR="00A845D9" w:rsidRPr="00A845D9" w:rsidRDefault="00A845D9">
            <w:pPr>
              <w:jc w:val="center"/>
            </w:pPr>
            <w:r w:rsidRPr="00A845D9">
              <w:t>Values</w:t>
            </w:r>
          </w:p>
        </w:tc>
        <w:tc>
          <w:tcPr>
            <w:tcW w:w="2520" w:type="dxa"/>
            <w:tcBorders>
              <w:top w:val="single" w:sz="6" w:space="0" w:color="000000"/>
              <w:left w:val="single" w:sz="6" w:space="0" w:color="000000"/>
              <w:bottom w:val="nil"/>
              <w:right w:val="nil"/>
            </w:tcBorders>
          </w:tcPr>
          <w:p w:rsidR="00A845D9" w:rsidRPr="00A845D9" w:rsidRDefault="00A845D9">
            <w:pPr>
              <w:spacing w:before="15"/>
              <w:jc w:val="center"/>
            </w:pPr>
            <w:r w:rsidRPr="00A845D9">
              <w:t>Estimated Net Value</w:t>
            </w:r>
          </w:p>
          <w:p w:rsidR="00A845D9" w:rsidRPr="00A845D9" w:rsidRDefault="00A845D9">
            <w:pPr>
              <w:jc w:val="center"/>
            </w:pPr>
            <w:r w:rsidRPr="00A845D9">
              <w:t>(Value Determined by Trustee,</w:t>
            </w:r>
          </w:p>
          <w:p w:rsidR="00A845D9" w:rsidRPr="00A845D9" w:rsidRDefault="00A845D9">
            <w:pPr>
              <w:jc w:val="center"/>
            </w:pPr>
            <w:r w:rsidRPr="00A845D9">
              <w:t>Less Liens, Exemptions,</w:t>
            </w:r>
          </w:p>
          <w:p w:rsidR="00A845D9" w:rsidRPr="00A845D9" w:rsidRDefault="00A845D9">
            <w:pPr>
              <w:jc w:val="center"/>
            </w:pPr>
            <w:r w:rsidRPr="00A845D9">
              <w:t xml:space="preserve"> and Other Costs)</w:t>
            </w:r>
          </w:p>
        </w:tc>
        <w:tc>
          <w:tcPr>
            <w:tcW w:w="2070" w:type="dxa"/>
            <w:tcBorders>
              <w:top w:val="single" w:sz="6" w:space="0" w:color="000000"/>
              <w:left w:val="single" w:sz="6" w:space="0" w:color="000000"/>
              <w:bottom w:val="nil"/>
              <w:right w:val="nil"/>
            </w:tcBorders>
          </w:tcPr>
          <w:p w:rsidR="00A845D9" w:rsidRPr="00A845D9" w:rsidRDefault="00A845D9">
            <w:pPr>
              <w:spacing w:before="15"/>
              <w:jc w:val="center"/>
              <w:rPr>
                <w:color w:val="FF0000"/>
              </w:rPr>
            </w:pPr>
            <w:r w:rsidRPr="00A845D9">
              <w:t xml:space="preserve">Property </w:t>
            </w:r>
            <w:r w:rsidRPr="005D4E75">
              <w:t xml:space="preserve">Formally </w:t>
            </w:r>
          </w:p>
          <w:p w:rsidR="00A845D9" w:rsidRPr="00A845D9" w:rsidRDefault="00A845D9">
            <w:pPr>
              <w:jc w:val="center"/>
            </w:pPr>
            <w:r w:rsidRPr="00A845D9">
              <w:rPr>
                <w:u w:val="single"/>
              </w:rPr>
              <w:t xml:space="preserve">   Abandoned   </w:t>
            </w:r>
          </w:p>
          <w:p w:rsidR="00A845D9" w:rsidRPr="00A845D9" w:rsidRDefault="00A845D9">
            <w:r w:rsidRPr="00A845D9">
              <w:t>OA=§554(a) abandon.</w:t>
            </w:r>
          </w:p>
          <w:p w:rsidR="00A845D9" w:rsidRPr="00A845D9" w:rsidRDefault="00A845D9">
            <w:pPr>
              <w:rPr>
                <w:strike/>
              </w:rPr>
            </w:pPr>
          </w:p>
        </w:tc>
        <w:tc>
          <w:tcPr>
            <w:tcW w:w="1710" w:type="dxa"/>
            <w:tcBorders>
              <w:top w:val="single" w:sz="6" w:space="0" w:color="000000"/>
              <w:left w:val="single" w:sz="6" w:space="0" w:color="000000"/>
              <w:bottom w:val="nil"/>
              <w:right w:val="nil"/>
            </w:tcBorders>
          </w:tcPr>
          <w:p w:rsidR="00A845D9" w:rsidRPr="00A845D9" w:rsidRDefault="00A845D9">
            <w:pPr>
              <w:spacing w:before="15"/>
              <w:jc w:val="center"/>
            </w:pPr>
            <w:r w:rsidRPr="00A845D9">
              <w:t>Sale/Funds</w:t>
            </w:r>
          </w:p>
          <w:p w:rsidR="00A845D9" w:rsidRPr="00A845D9" w:rsidRDefault="00A845D9">
            <w:pPr>
              <w:jc w:val="center"/>
            </w:pPr>
            <w:r w:rsidRPr="00A845D9">
              <w:t>Received by</w:t>
            </w:r>
          </w:p>
          <w:p w:rsidR="00A845D9" w:rsidRPr="00A845D9" w:rsidRDefault="00A845D9">
            <w:pPr>
              <w:jc w:val="center"/>
            </w:pPr>
            <w:r w:rsidRPr="00A845D9">
              <w:t>the Estate</w:t>
            </w:r>
          </w:p>
        </w:tc>
        <w:tc>
          <w:tcPr>
            <w:tcW w:w="3060" w:type="dxa"/>
            <w:tcBorders>
              <w:top w:val="single" w:sz="6" w:space="0" w:color="000000"/>
              <w:left w:val="single" w:sz="6" w:space="0" w:color="000000"/>
              <w:bottom w:val="nil"/>
              <w:right w:val="double" w:sz="9" w:space="0" w:color="000000"/>
            </w:tcBorders>
          </w:tcPr>
          <w:p w:rsidR="00A845D9" w:rsidRPr="00A845D9" w:rsidRDefault="00A845D9">
            <w:pPr>
              <w:spacing w:before="15"/>
              <w:jc w:val="center"/>
            </w:pPr>
            <w:r w:rsidRPr="00A845D9">
              <w:t>Asset Fully Administered (FA)/</w:t>
            </w:r>
          </w:p>
          <w:p w:rsidR="00A845D9" w:rsidRPr="00A845D9" w:rsidRDefault="00A845D9">
            <w:pPr>
              <w:jc w:val="center"/>
            </w:pPr>
            <w:r w:rsidRPr="00A845D9">
              <w:t>Gross Value of Remaining Assets</w:t>
            </w:r>
          </w:p>
          <w:p w:rsidR="00A845D9" w:rsidRPr="00A845D9" w:rsidRDefault="00A845D9">
            <w:pPr>
              <w:jc w:val="center"/>
            </w:pPr>
          </w:p>
        </w:tc>
      </w:tr>
      <w:tr w:rsidR="00A845D9" w:rsidTr="00A845D9">
        <w:trPr>
          <w:cantSplit/>
          <w:trHeight w:hRule="exact" w:val="258"/>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Checking account</w:t>
            </w:r>
          </w:p>
        </w:tc>
        <w:tc>
          <w:tcPr>
            <w:tcW w:w="1440" w:type="dxa"/>
            <w:tcBorders>
              <w:top w:val="single" w:sz="6" w:space="0" w:color="000000"/>
              <w:left w:val="nil"/>
              <w:bottom w:val="nil"/>
              <w:right w:val="nil"/>
            </w:tcBorders>
          </w:tcPr>
          <w:p w:rsidR="00A845D9" w:rsidRDefault="00A845D9">
            <w:pPr>
              <w:spacing w:before="15"/>
              <w:jc w:val="right"/>
              <w:rPr>
                <w:sz w:val="18"/>
                <w:szCs w:val="18"/>
              </w:rPr>
            </w:pPr>
            <w:r>
              <w:rPr>
                <w:sz w:val="18"/>
                <w:szCs w:val="18"/>
              </w:rPr>
              <w:t>500.00</w:t>
            </w:r>
          </w:p>
        </w:tc>
        <w:tc>
          <w:tcPr>
            <w:tcW w:w="2520" w:type="dxa"/>
            <w:tcBorders>
              <w:top w:val="single" w:sz="6" w:space="0" w:color="000000"/>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w:t>
            </w:r>
          </w:p>
        </w:tc>
        <w:tc>
          <w:tcPr>
            <w:tcW w:w="2070" w:type="dxa"/>
            <w:tcBorders>
              <w:top w:val="single" w:sz="6" w:space="0" w:color="000000"/>
              <w:left w:val="nil"/>
              <w:bottom w:val="nil"/>
              <w:right w:val="nil"/>
            </w:tcBorders>
          </w:tcPr>
          <w:p w:rsidR="00A845D9" w:rsidRDefault="00A845D9">
            <w:pPr>
              <w:spacing w:before="15"/>
              <w:jc w:val="center"/>
              <w:rPr>
                <w:sz w:val="18"/>
                <w:szCs w:val="18"/>
              </w:rPr>
            </w:pPr>
          </w:p>
        </w:tc>
        <w:tc>
          <w:tcPr>
            <w:tcW w:w="1710" w:type="dxa"/>
            <w:tcBorders>
              <w:top w:val="single" w:sz="6" w:space="0" w:color="000000"/>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w:t>
            </w:r>
          </w:p>
        </w:tc>
        <w:tc>
          <w:tcPr>
            <w:tcW w:w="3060" w:type="dxa"/>
            <w:tcBorders>
              <w:top w:val="single" w:sz="6" w:space="0" w:color="000000"/>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2</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123 Ocean View - rental prop. </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100,000.00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63,000.00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90,000.00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3</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Accounts receivable  </w:t>
            </w:r>
            <w:r>
              <w:rPr>
                <w:i/>
                <w:iCs/>
                <w:sz w:val="18"/>
                <w:szCs w:val="18"/>
              </w:rPr>
              <w:t>Note 1</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30,000.00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4,000.00</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4</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Household goods </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2,000.00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5</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Artwork</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10,000.00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12,500.00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1,000.00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14,000.00</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6</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1999 Chevy van </w:t>
            </w:r>
            <w:r>
              <w:rPr>
                <w:i/>
                <w:iCs/>
                <w:sz w:val="18"/>
                <w:szCs w:val="18"/>
              </w:rPr>
              <w:t>Notes 1,2</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5,000.00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6,100.00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5,538.00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7</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Office equipment </w:t>
            </w:r>
            <w:r>
              <w:rPr>
                <w:i/>
                <w:iCs/>
                <w:sz w:val="18"/>
                <w:szCs w:val="18"/>
              </w:rPr>
              <w:t>Note 1,2</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5,000.00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3,600.00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2,462.00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8</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Ocean View rent receivable </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500.00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9</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55 Lake Dr./ ½  int. homestead</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37,500.00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7,125.00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10</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1998 Ford truck</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8,000.00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0.00</w:t>
            </w:r>
          </w:p>
        </w:tc>
        <w:tc>
          <w:tcPr>
            <w:tcW w:w="2070" w:type="dxa"/>
            <w:tcBorders>
              <w:top w:val="nil"/>
              <w:left w:val="nil"/>
              <w:bottom w:val="nil"/>
              <w:right w:val="nil"/>
            </w:tcBorders>
          </w:tcPr>
          <w:p w:rsidR="00A845D9" w:rsidRDefault="00A845D9">
            <w:pPr>
              <w:spacing w:before="15"/>
              <w:jc w:val="center"/>
              <w:rPr>
                <w:sz w:val="18"/>
                <w:szCs w:val="18"/>
              </w:rPr>
            </w:pPr>
            <w:r>
              <w:rPr>
                <w:sz w:val="18"/>
                <w:szCs w:val="18"/>
              </w:rPr>
              <w:t>OA</w:t>
            </w: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11</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 xml:space="preserve">ABC preference action </w:t>
            </w:r>
            <w:r>
              <w:rPr>
                <w:i/>
                <w:iCs/>
                <w:sz w:val="18"/>
                <w:szCs w:val="18"/>
              </w:rPr>
              <w:t>Note 3</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Unknown</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5,000.00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2,000.00</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12</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proofErr w:type="spellStart"/>
            <w:r>
              <w:rPr>
                <w:sz w:val="18"/>
                <w:szCs w:val="18"/>
              </w:rPr>
              <w:t>Addt’l</w:t>
            </w:r>
            <w:proofErr w:type="spellEnd"/>
            <w:r>
              <w:rPr>
                <w:sz w:val="18"/>
                <w:szCs w:val="18"/>
              </w:rPr>
              <w:t xml:space="preserve"> Ocean View rents </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Unknown</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N/A</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1,000.00</w:t>
            </w: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FA</w:t>
            </w:r>
          </w:p>
        </w:tc>
      </w:tr>
      <w:tr w:rsidR="00A845D9" w:rsidTr="00A845D9">
        <w:trPr>
          <w:cantSplit/>
          <w:trHeight w:val="26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13</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Personal Injury Suit (u)</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Unknown</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Unknown</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Unknown</w:t>
            </w:r>
          </w:p>
        </w:tc>
      </w:tr>
      <w:tr w:rsidR="00A845D9" w:rsidTr="00A845D9">
        <w:trPr>
          <w:cantSplit/>
          <w:trHeight w:hRule="exact" w:val="316"/>
        </w:trPr>
        <w:tc>
          <w:tcPr>
            <w:tcW w:w="450" w:type="dxa"/>
            <w:tcBorders>
              <w:top w:val="nil"/>
              <w:left w:val="double" w:sz="9" w:space="0" w:color="000000"/>
              <w:bottom w:val="nil"/>
              <w:right w:val="nil"/>
            </w:tcBorders>
          </w:tcPr>
          <w:p w:rsidR="00A845D9" w:rsidRDefault="00A845D9">
            <w:pPr>
              <w:spacing w:before="15"/>
              <w:rPr>
                <w:sz w:val="18"/>
                <w:szCs w:val="18"/>
              </w:rPr>
            </w:pPr>
            <w:r>
              <w:rPr>
                <w:sz w:val="18"/>
                <w:szCs w:val="18"/>
              </w:rPr>
              <w:t>14</w:t>
            </w:r>
          </w:p>
        </w:tc>
        <w:tc>
          <w:tcPr>
            <w:tcW w:w="2880" w:type="dxa"/>
            <w:tcBorders>
              <w:top w:val="nil"/>
              <w:left w:val="single" w:sz="6" w:space="0" w:color="000000"/>
              <w:bottom w:val="nil"/>
              <w:right w:val="single" w:sz="6" w:space="0" w:color="000000"/>
            </w:tcBorders>
          </w:tcPr>
          <w:p w:rsidR="00A845D9" w:rsidRDefault="00A845D9">
            <w:pPr>
              <w:spacing w:before="15"/>
              <w:rPr>
                <w:sz w:val="18"/>
                <w:szCs w:val="18"/>
              </w:rPr>
            </w:pPr>
            <w:r>
              <w:rPr>
                <w:sz w:val="18"/>
                <w:szCs w:val="18"/>
              </w:rPr>
              <w:t>Fraudulent transfer (u)</w:t>
            </w:r>
          </w:p>
        </w:tc>
        <w:tc>
          <w:tcPr>
            <w:tcW w:w="1440" w:type="dxa"/>
            <w:tcBorders>
              <w:top w:val="nil"/>
              <w:left w:val="nil"/>
              <w:bottom w:val="nil"/>
              <w:right w:val="nil"/>
            </w:tcBorders>
          </w:tcPr>
          <w:p w:rsidR="00A845D9" w:rsidRDefault="00A845D9">
            <w:pPr>
              <w:spacing w:before="15"/>
              <w:jc w:val="right"/>
              <w:rPr>
                <w:sz w:val="18"/>
                <w:szCs w:val="18"/>
              </w:rPr>
            </w:pPr>
            <w:r>
              <w:rPr>
                <w:sz w:val="18"/>
                <w:szCs w:val="18"/>
              </w:rPr>
              <w:t>20,000.00</w:t>
            </w:r>
          </w:p>
        </w:tc>
        <w:tc>
          <w:tcPr>
            <w:tcW w:w="2520" w:type="dxa"/>
            <w:tcBorders>
              <w:top w:val="nil"/>
              <w:left w:val="single" w:sz="6" w:space="0" w:color="000000"/>
              <w:bottom w:val="nil"/>
              <w:right w:val="single" w:sz="6" w:space="0" w:color="000000"/>
            </w:tcBorders>
          </w:tcPr>
          <w:p w:rsidR="00A845D9" w:rsidRDefault="00A845D9">
            <w:pPr>
              <w:spacing w:before="15"/>
              <w:jc w:val="right"/>
              <w:rPr>
                <w:sz w:val="18"/>
                <w:szCs w:val="18"/>
              </w:rPr>
            </w:pPr>
            <w:r>
              <w:rPr>
                <w:sz w:val="18"/>
                <w:szCs w:val="18"/>
              </w:rPr>
              <w:t>20,000.00</w:t>
            </w:r>
          </w:p>
        </w:tc>
        <w:tc>
          <w:tcPr>
            <w:tcW w:w="2070" w:type="dxa"/>
            <w:tcBorders>
              <w:top w:val="nil"/>
              <w:left w:val="nil"/>
              <w:bottom w:val="nil"/>
              <w:right w:val="nil"/>
            </w:tcBorders>
          </w:tcPr>
          <w:p w:rsidR="00A845D9" w:rsidRDefault="00A845D9">
            <w:pPr>
              <w:spacing w:before="15"/>
              <w:jc w:val="center"/>
              <w:rPr>
                <w:sz w:val="18"/>
                <w:szCs w:val="18"/>
              </w:rPr>
            </w:pPr>
          </w:p>
        </w:tc>
        <w:tc>
          <w:tcPr>
            <w:tcW w:w="1710" w:type="dxa"/>
            <w:tcBorders>
              <w:top w:val="nil"/>
              <w:left w:val="single" w:sz="6" w:space="0" w:color="000000"/>
              <w:bottom w:val="nil"/>
              <w:right w:val="single" w:sz="6" w:space="0" w:color="000000"/>
            </w:tcBorders>
          </w:tcPr>
          <w:p w:rsidR="00A845D9" w:rsidRDefault="00A845D9">
            <w:pPr>
              <w:spacing w:before="15"/>
              <w:jc w:val="right"/>
              <w:rPr>
                <w:sz w:val="18"/>
                <w:szCs w:val="18"/>
              </w:rPr>
            </w:pPr>
          </w:p>
        </w:tc>
        <w:tc>
          <w:tcPr>
            <w:tcW w:w="3060" w:type="dxa"/>
            <w:tcBorders>
              <w:top w:val="nil"/>
              <w:left w:val="nil"/>
              <w:bottom w:val="nil"/>
              <w:right w:val="double" w:sz="9" w:space="0" w:color="000000"/>
            </w:tcBorders>
          </w:tcPr>
          <w:p w:rsidR="00A845D9" w:rsidRDefault="00A845D9">
            <w:pPr>
              <w:spacing w:before="15"/>
              <w:jc w:val="center"/>
              <w:rPr>
                <w:sz w:val="18"/>
                <w:szCs w:val="18"/>
              </w:rPr>
            </w:pPr>
            <w:r>
              <w:rPr>
                <w:sz w:val="18"/>
                <w:szCs w:val="18"/>
              </w:rPr>
              <w:t>20,000.00</w:t>
            </w:r>
          </w:p>
        </w:tc>
      </w:tr>
      <w:tr w:rsidR="00A845D9" w:rsidTr="00A845D9">
        <w:trPr>
          <w:cantSplit/>
          <w:trHeight w:hRule="exact" w:val="252"/>
        </w:trPr>
        <w:tc>
          <w:tcPr>
            <w:tcW w:w="450" w:type="dxa"/>
            <w:tcBorders>
              <w:top w:val="nil"/>
              <w:left w:val="double" w:sz="9" w:space="0" w:color="000000"/>
              <w:bottom w:val="double" w:sz="9" w:space="0" w:color="000000"/>
              <w:right w:val="nil"/>
            </w:tcBorders>
          </w:tcPr>
          <w:p w:rsidR="00A845D9" w:rsidRDefault="00A845D9">
            <w:pPr>
              <w:spacing w:before="15"/>
              <w:rPr>
                <w:sz w:val="18"/>
                <w:szCs w:val="18"/>
              </w:rPr>
            </w:pPr>
            <w:r>
              <w:rPr>
                <w:sz w:val="18"/>
                <w:szCs w:val="18"/>
              </w:rPr>
              <w:t>15</w:t>
            </w:r>
          </w:p>
        </w:tc>
        <w:tc>
          <w:tcPr>
            <w:tcW w:w="2880" w:type="dxa"/>
            <w:tcBorders>
              <w:top w:val="nil"/>
              <w:left w:val="single" w:sz="6" w:space="0" w:color="000000"/>
              <w:bottom w:val="double" w:sz="9" w:space="0" w:color="000000"/>
              <w:right w:val="single" w:sz="6" w:space="0" w:color="000000"/>
            </w:tcBorders>
          </w:tcPr>
          <w:p w:rsidR="00A845D9" w:rsidRDefault="00A845D9">
            <w:pPr>
              <w:spacing w:before="15"/>
              <w:rPr>
                <w:sz w:val="18"/>
                <w:szCs w:val="18"/>
              </w:rPr>
            </w:pPr>
            <w:r>
              <w:rPr>
                <w:sz w:val="18"/>
                <w:szCs w:val="18"/>
              </w:rPr>
              <w:t>Interest earned (u)</w:t>
            </w:r>
          </w:p>
        </w:tc>
        <w:tc>
          <w:tcPr>
            <w:tcW w:w="1440" w:type="dxa"/>
            <w:tcBorders>
              <w:top w:val="nil"/>
              <w:left w:val="nil"/>
              <w:bottom w:val="double" w:sz="9" w:space="0" w:color="000000"/>
              <w:right w:val="nil"/>
            </w:tcBorders>
          </w:tcPr>
          <w:p w:rsidR="00A845D9" w:rsidRDefault="00A845D9">
            <w:pPr>
              <w:spacing w:before="15"/>
              <w:jc w:val="right"/>
              <w:rPr>
                <w:sz w:val="18"/>
                <w:szCs w:val="18"/>
              </w:rPr>
            </w:pPr>
            <w:r>
              <w:rPr>
                <w:sz w:val="18"/>
                <w:szCs w:val="18"/>
              </w:rPr>
              <w:t>Unknown</w:t>
            </w:r>
          </w:p>
        </w:tc>
        <w:tc>
          <w:tcPr>
            <w:tcW w:w="2520" w:type="dxa"/>
            <w:tcBorders>
              <w:top w:val="nil"/>
              <w:left w:val="single" w:sz="6" w:space="0" w:color="000000"/>
              <w:bottom w:val="double" w:sz="9" w:space="0" w:color="000000"/>
              <w:right w:val="single" w:sz="6" w:space="0" w:color="000000"/>
            </w:tcBorders>
          </w:tcPr>
          <w:p w:rsidR="00A845D9" w:rsidRDefault="00A845D9">
            <w:pPr>
              <w:spacing w:before="15"/>
              <w:jc w:val="right"/>
              <w:rPr>
                <w:sz w:val="18"/>
                <w:szCs w:val="18"/>
              </w:rPr>
            </w:pPr>
            <w:r>
              <w:rPr>
                <w:sz w:val="18"/>
                <w:szCs w:val="18"/>
              </w:rPr>
              <w:t>N/A</w:t>
            </w:r>
          </w:p>
        </w:tc>
        <w:tc>
          <w:tcPr>
            <w:tcW w:w="2070" w:type="dxa"/>
            <w:tcBorders>
              <w:top w:val="nil"/>
              <w:left w:val="nil"/>
              <w:bottom w:val="double" w:sz="9" w:space="0" w:color="000000"/>
              <w:right w:val="nil"/>
            </w:tcBorders>
          </w:tcPr>
          <w:p w:rsidR="00A845D9" w:rsidRDefault="00A845D9">
            <w:pPr>
              <w:spacing w:before="15"/>
              <w:jc w:val="center"/>
              <w:rPr>
                <w:sz w:val="18"/>
                <w:szCs w:val="18"/>
              </w:rPr>
            </w:pPr>
          </w:p>
        </w:tc>
        <w:tc>
          <w:tcPr>
            <w:tcW w:w="1710" w:type="dxa"/>
            <w:tcBorders>
              <w:top w:val="nil"/>
              <w:left w:val="single" w:sz="6" w:space="0" w:color="000000"/>
              <w:bottom w:val="double" w:sz="9" w:space="0" w:color="000000"/>
              <w:right w:val="single" w:sz="6" w:space="0" w:color="000000"/>
            </w:tcBorders>
          </w:tcPr>
          <w:p w:rsidR="00A845D9" w:rsidRDefault="00A845D9">
            <w:pPr>
              <w:spacing w:before="15"/>
              <w:jc w:val="right"/>
              <w:rPr>
                <w:sz w:val="18"/>
                <w:szCs w:val="18"/>
              </w:rPr>
            </w:pPr>
            <w:r>
              <w:rPr>
                <w:sz w:val="18"/>
                <w:szCs w:val="18"/>
              </w:rPr>
              <w:t>489.76</w:t>
            </w:r>
          </w:p>
        </w:tc>
        <w:tc>
          <w:tcPr>
            <w:tcW w:w="3060" w:type="dxa"/>
            <w:tcBorders>
              <w:top w:val="nil"/>
              <w:left w:val="nil"/>
              <w:bottom w:val="double" w:sz="9" w:space="0" w:color="000000"/>
              <w:right w:val="double" w:sz="9" w:space="0" w:color="000000"/>
            </w:tcBorders>
          </w:tcPr>
          <w:p w:rsidR="00A845D9" w:rsidRDefault="00A845D9">
            <w:pPr>
              <w:spacing w:before="15"/>
              <w:jc w:val="center"/>
            </w:pPr>
            <w:r>
              <w:rPr>
                <w:sz w:val="18"/>
                <w:szCs w:val="18"/>
              </w:rPr>
              <w:t>Unknown</w:t>
            </w:r>
          </w:p>
        </w:tc>
      </w:tr>
      <w:tr w:rsidR="00A845D9" w:rsidTr="00A845D9">
        <w:trPr>
          <w:cantSplit/>
          <w:trHeight w:hRule="exact" w:val="579"/>
        </w:trPr>
        <w:tc>
          <w:tcPr>
            <w:tcW w:w="3330" w:type="dxa"/>
            <w:gridSpan w:val="2"/>
            <w:tcBorders>
              <w:top w:val="nil"/>
              <w:left w:val="double" w:sz="9" w:space="0" w:color="000000"/>
              <w:bottom w:val="double" w:sz="9" w:space="0" w:color="000000"/>
              <w:right w:val="single" w:sz="6" w:space="0" w:color="000000"/>
            </w:tcBorders>
          </w:tcPr>
          <w:p w:rsidR="00A845D9" w:rsidRPr="00A845D9" w:rsidRDefault="00A845D9" w:rsidP="00A845D9">
            <w:pPr>
              <w:spacing w:before="15"/>
              <w:rPr>
                <w:sz w:val="18"/>
                <w:szCs w:val="18"/>
              </w:rPr>
            </w:pPr>
            <w:r w:rsidRPr="00A845D9">
              <w:rPr>
                <w:sz w:val="18"/>
                <w:szCs w:val="18"/>
              </w:rPr>
              <w:fldChar w:fldCharType="begin"/>
            </w:r>
            <w:r w:rsidRPr="00A845D9">
              <w:rPr>
                <w:sz w:val="18"/>
                <w:szCs w:val="18"/>
              </w:rPr>
              <w:instrText xml:space="preserve"> SEQ CHAPTER \h \r 1</w:instrText>
            </w:r>
            <w:r w:rsidRPr="00A845D9">
              <w:rPr>
                <w:sz w:val="18"/>
                <w:szCs w:val="18"/>
              </w:rPr>
              <w:fldChar w:fldCharType="end"/>
            </w:r>
            <w:r w:rsidRPr="00A845D9">
              <w:rPr>
                <w:sz w:val="18"/>
                <w:szCs w:val="18"/>
              </w:rPr>
              <w:t>TOTALS (Excluding unknown values)</w:t>
            </w:r>
          </w:p>
        </w:tc>
        <w:tc>
          <w:tcPr>
            <w:tcW w:w="1440" w:type="dxa"/>
            <w:tcBorders>
              <w:top w:val="nil"/>
              <w:left w:val="nil"/>
              <w:bottom w:val="double" w:sz="9" w:space="0" w:color="000000"/>
              <w:right w:val="nil"/>
            </w:tcBorders>
          </w:tcPr>
          <w:p w:rsidR="00A845D9" w:rsidRPr="00A845D9" w:rsidRDefault="00A845D9" w:rsidP="00A845D9">
            <w:pPr>
              <w:spacing w:before="15"/>
              <w:jc w:val="right"/>
              <w:rPr>
                <w:sz w:val="18"/>
                <w:szCs w:val="18"/>
              </w:rPr>
            </w:pPr>
          </w:p>
        </w:tc>
        <w:tc>
          <w:tcPr>
            <w:tcW w:w="2520" w:type="dxa"/>
            <w:tcBorders>
              <w:top w:val="nil"/>
              <w:left w:val="single" w:sz="6" w:space="0" w:color="000000"/>
              <w:bottom w:val="double" w:sz="9" w:space="0" w:color="000000"/>
              <w:right w:val="single" w:sz="6" w:space="0" w:color="000000"/>
            </w:tcBorders>
          </w:tcPr>
          <w:p w:rsidR="00A845D9" w:rsidRPr="00A845D9" w:rsidRDefault="00A845D9" w:rsidP="00A845D9">
            <w:pPr>
              <w:spacing w:before="15"/>
              <w:jc w:val="right"/>
              <w:rPr>
                <w:sz w:val="18"/>
                <w:szCs w:val="18"/>
              </w:rPr>
            </w:pPr>
            <w:r w:rsidRPr="00A845D9">
              <w:rPr>
                <w:sz w:val="18"/>
                <w:szCs w:val="18"/>
              </w:rPr>
              <w:t>118,325.00</w:t>
            </w:r>
          </w:p>
        </w:tc>
        <w:tc>
          <w:tcPr>
            <w:tcW w:w="2070" w:type="dxa"/>
            <w:tcBorders>
              <w:top w:val="nil"/>
              <w:left w:val="nil"/>
              <w:bottom w:val="double" w:sz="9" w:space="0" w:color="000000"/>
              <w:right w:val="nil"/>
            </w:tcBorders>
          </w:tcPr>
          <w:p w:rsidR="00A845D9" w:rsidRPr="00A845D9" w:rsidRDefault="00A845D9" w:rsidP="00A845D9">
            <w:pPr>
              <w:spacing w:before="15"/>
              <w:jc w:val="center"/>
              <w:rPr>
                <w:sz w:val="18"/>
                <w:szCs w:val="18"/>
              </w:rPr>
            </w:pPr>
          </w:p>
        </w:tc>
        <w:tc>
          <w:tcPr>
            <w:tcW w:w="1710" w:type="dxa"/>
            <w:tcBorders>
              <w:top w:val="nil"/>
              <w:left w:val="single" w:sz="6" w:space="0" w:color="000000"/>
              <w:bottom w:val="double" w:sz="9" w:space="0" w:color="000000"/>
              <w:right w:val="single" w:sz="6" w:space="0" w:color="000000"/>
            </w:tcBorders>
          </w:tcPr>
          <w:p w:rsidR="00A845D9" w:rsidRPr="00A845D9" w:rsidRDefault="00A845D9" w:rsidP="00A845D9">
            <w:pPr>
              <w:spacing w:before="15"/>
              <w:jc w:val="right"/>
              <w:rPr>
                <w:sz w:val="18"/>
                <w:szCs w:val="18"/>
              </w:rPr>
            </w:pPr>
            <w:r w:rsidRPr="00A845D9">
              <w:rPr>
                <w:sz w:val="18"/>
                <w:szCs w:val="18"/>
              </w:rPr>
              <w:t>156,489.76</w:t>
            </w:r>
          </w:p>
        </w:tc>
        <w:tc>
          <w:tcPr>
            <w:tcW w:w="3060" w:type="dxa"/>
            <w:tcBorders>
              <w:top w:val="nil"/>
              <w:left w:val="nil"/>
              <w:bottom w:val="double" w:sz="9" w:space="0" w:color="000000"/>
              <w:right w:val="double" w:sz="9" w:space="0" w:color="000000"/>
            </w:tcBorders>
          </w:tcPr>
          <w:p w:rsidR="00A845D9" w:rsidRPr="00A845D9" w:rsidRDefault="00A845D9" w:rsidP="00A845D9">
            <w:pPr>
              <w:spacing w:before="15"/>
              <w:jc w:val="center"/>
              <w:rPr>
                <w:sz w:val="18"/>
                <w:szCs w:val="18"/>
              </w:rPr>
            </w:pPr>
            <w:r w:rsidRPr="00A845D9">
              <w:rPr>
                <w:sz w:val="18"/>
                <w:szCs w:val="18"/>
              </w:rPr>
              <w:t>Gross Value of Remaining Assets</w:t>
            </w:r>
          </w:p>
          <w:p w:rsidR="00A845D9" w:rsidRPr="00A845D9" w:rsidRDefault="00A845D9" w:rsidP="00A845D9">
            <w:pPr>
              <w:spacing w:before="15"/>
              <w:jc w:val="center"/>
              <w:rPr>
                <w:sz w:val="18"/>
                <w:szCs w:val="18"/>
              </w:rPr>
            </w:pPr>
            <w:r w:rsidRPr="00A845D9">
              <w:rPr>
                <w:sz w:val="18"/>
                <w:szCs w:val="18"/>
              </w:rPr>
              <w:t>40,000.00</w:t>
            </w:r>
          </w:p>
        </w:tc>
      </w:tr>
    </w:tbl>
    <w:p w:rsidR="00A845D9" w:rsidRDefault="00A845D9" w:rsidP="00A845D9">
      <w:r w:rsidRPr="00A845D9">
        <w:rPr>
          <w:sz w:val="16"/>
          <w:szCs w:val="16"/>
        </w:rPr>
        <w:t xml:space="preserve">Note 1: $10,000 National Bank lien encumbers assets 3, 6, and 7.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b/>
      </w:r>
      <w:r>
        <w:tab/>
      </w:r>
      <w:r>
        <w:tab/>
      </w:r>
      <w:r>
        <w:tab/>
        <w:t xml:space="preserve">     </w:t>
      </w:r>
      <w:r>
        <w:tab/>
      </w:r>
      <w:r>
        <w:tab/>
      </w:r>
      <w:r>
        <w:tab/>
      </w:r>
      <w:r>
        <w:tab/>
      </w:r>
      <w:r>
        <w:tab/>
      </w:r>
      <w:r>
        <w:tab/>
        <w:t xml:space="preserve">      </w:t>
      </w:r>
    </w:p>
    <w:p w:rsidR="00A845D9" w:rsidRPr="00A845D9" w:rsidRDefault="00A845D9" w:rsidP="00A845D9">
      <w:pPr>
        <w:tabs>
          <w:tab w:val="left" w:pos="720"/>
          <w:tab w:val="left" w:pos="1440"/>
          <w:tab w:val="left" w:pos="2160"/>
          <w:tab w:val="left" w:pos="2880"/>
          <w:tab w:val="left" w:pos="3600"/>
          <w:tab w:val="left" w:pos="4320"/>
          <w:tab w:val="left" w:pos="5040"/>
          <w:tab w:val="left" w:pos="5760"/>
        </w:tabs>
        <w:ind w:left="6120" w:hanging="6120"/>
        <w:rPr>
          <w:sz w:val="16"/>
          <w:szCs w:val="16"/>
        </w:rPr>
      </w:pPr>
      <w:r w:rsidRPr="00A845D9">
        <w:rPr>
          <w:sz w:val="16"/>
          <w:szCs w:val="16"/>
        </w:rPr>
        <w:t>Note 2: Assets #6 and #7 were sold together in bulk sale.</w:t>
      </w:r>
      <w:r w:rsidRPr="00A845D9">
        <w:rPr>
          <w:sz w:val="16"/>
          <w:szCs w:val="16"/>
        </w:rPr>
        <w:tab/>
      </w:r>
      <w:r w:rsidRPr="00A845D9">
        <w:rPr>
          <w:sz w:val="16"/>
          <w:szCs w:val="16"/>
        </w:rPr>
        <w:tab/>
      </w:r>
      <w:r w:rsidRPr="00A845D9">
        <w:rPr>
          <w:sz w:val="16"/>
          <w:szCs w:val="16"/>
        </w:rPr>
        <w:tab/>
      </w:r>
      <w:r w:rsidRPr="00A845D9">
        <w:rPr>
          <w:sz w:val="16"/>
          <w:szCs w:val="16"/>
        </w:rPr>
        <w:tab/>
        <w:t>Note 3: Settlement negotiations are pending.  Current value estimated at $2,000.</w:t>
      </w:r>
    </w:p>
    <w:p w:rsidR="00A845D9" w:rsidRDefault="00A845D9" w:rsidP="00A845D9">
      <w:pPr>
        <w:rPr>
          <w:sz w:val="16"/>
          <w:szCs w:val="16"/>
        </w:rPr>
      </w:pPr>
    </w:p>
    <w:p w:rsidR="00A845D9" w:rsidRPr="00A845D9" w:rsidRDefault="00A845D9" w:rsidP="00A845D9">
      <w:pPr>
        <w:rPr>
          <w:sz w:val="16"/>
          <w:szCs w:val="16"/>
        </w:rPr>
      </w:pPr>
      <w:r w:rsidRPr="00A845D9">
        <w:rPr>
          <w:sz w:val="16"/>
          <w:szCs w:val="16"/>
        </w:rPr>
        <w:t xml:space="preserve">Major activities affecting case closing: </w:t>
      </w:r>
    </w:p>
    <w:p w:rsidR="00A845D9" w:rsidRPr="00A845D9" w:rsidRDefault="00A845D9" w:rsidP="00A845D9">
      <w:pPr>
        <w:tabs>
          <w:tab w:val="left" w:pos="720"/>
          <w:tab w:val="left" w:pos="1440"/>
          <w:tab w:val="left" w:pos="2160"/>
          <w:tab w:val="left" w:pos="2880"/>
          <w:tab w:val="left" w:pos="3600"/>
          <w:tab w:val="left" w:pos="4320"/>
          <w:tab w:val="left" w:pos="5040"/>
          <w:tab w:val="left" w:pos="5760"/>
          <w:tab w:val="left" w:pos="6480"/>
          <w:tab w:val="left" w:pos="7200"/>
        </w:tabs>
        <w:ind w:left="7560" w:hanging="7560"/>
        <w:rPr>
          <w:sz w:val="16"/>
          <w:szCs w:val="16"/>
        </w:rPr>
      </w:pPr>
      <w:r>
        <w:t xml:space="preserve"> </w:t>
      </w:r>
      <w:r>
        <w:tab/>
      </w:r>
      <w:r w:rsidRPr="00A845D9">
        <w:rPr>
          <w:sz w:val="16"/>
          <w:szCs w:val="16"/>
        </w:rPr>
        <w:t>Portion of artwork sold to debtor for $5,000 (payable $1,000 mo., due 4/1/03 - 8/1/03);</w:t>
      </w:r>
      <w:r w:rsidRPr="00A845D9">
        <w:rPr>
          <w:sz w:val="16"/>
          <w:szCs w:val="16"/>
        </w:rPr>
        <w:tab/>
      </w:r>
      <w:r w:rsidRPr="00A845D9">
        <w:rPr>
          <w:sz w:val="16"/>
          <w:szCs w:val="16"/>
        </w:rPr>
        <w:tab/>
        <w:t>Collect remaining accounts receivable.</w:t>
      </w:r>
    </w:p>
    <w:p w:rsidR="00A845D9" w:rsidRPr="00A845D9" w:rsidRDefault="00A845D9" w:rsidP="00A845D9">
      <w:pPr>
        <w:tabs>
          <w:tab w:val="left" w:pos="720"/>
          <w:tab w:val="left" w:pos="1440"/>
          <w:tab w:val="left" w:pos="2160"/>
          <w:tab w:val="left" w:pos="2880"/>
          <w:tab w:val="left" w:pos="3600"/>
          <w:tab w:val="left" w:pos="4320"/>
          <w:tab w:val="left" w:pos="5040"/>
          <w:tab w:val="left" w:pos="5760"/>
          <w:tab w:val="left" w:pos="6480"/>
          <w:tab w:val="left" w:pos="7200"/>
        </w:tabs>
        <w:ind w:left="7560" w:hanging="7560"/>
        <w:rPr>
          <w:sz w:val="16"/>
          <w:szCs w:val="16"/>
        </w:rPr>
      </w:pPr>
      <w:r w:rsidRPr="00A845D9">
        <w:rPr>
          <w:sz w:val="16"/>
          <w:szCs w:val="16"/>
        </w:rPr>
        <w:tab/>
        <w:t xml:space="preserve">    Have sent demand letter for delinquent payments.  Payment is forthcoming.</w:t>
      </w:r>
      <w:r w:rsidRPr="00A845D9">
        <w:rPr>
          <w:sz w:val="16"/>
          <w:szCs w:val="16"/>
        </w:rPr>
        <w:tab/>
      </w:r>
      <w:r w:rsidRPr="00A845D9">
        <w:rPr>
          <w:sz w:val="16"/>
          <w:szCs w:val="16"/>
        </w:rPr>
        <w:tab/>
      </w:r>
      <w:r w:rsidRPr="00A845D9">
        <w:rPr>
          <w:sz w:val="16"/>
          <w:szCs w:val="16"/>
        </w:rPr>
        <w:tab/>
        <w:t>Settle preference action and adversary concerning fraudulent conveyance</w:t>
      </w:r>
    </w:p>
    <w:p w:rsidR="00A845D9" w:rsidRPr="00A845D9" w:rsidRDefault="00A845D9" w:rsidP="00A845D9">
      <w:pPr>
        <w:tabs>
          <w:tab w:val="left" w:pos="720"/>
          <w:tab w:val="left" w:pos="1440"/>
          <w:tab w:val="left" w:pos="2160"/>
          <w:tab w:val="left" w:pos="2880"/>
          <w:tab w:val="left" w:pos="3600"/>
          <w:tab w:val="left" w:pos="4320"/>
          <w:tab w:val="left" w:pos="5040"/>
          <w:tab w:val="left" w:pos="5760"/>
          <w:tab w:val="left" w:pos="6480"/>
        </w:tabs>
        <w:ind w:left="6840" w:hanging="6840"/>
        <w:rPr>
          <w:sz w:val="16"/>
          <w:szCs w:val="16"/>
        </w:rPr>
      </w:pPr>
      <w:r w:rsidRPr="00A845D9">
        <w:rPr>
          <w:sz w:val="16"/>
          <w:szCs w:val="16"/>
        </w:rPr>
        <w:t xml:space="preserve"> </w:t>
      </w:r>
      <w:r w:rsidRPr="00A845D9">
        <w:rPr>
          <w:sz w:val="16"/>
          <w:szCs w:val="16"/>
        </w:rPr>
        <w:tab/>
        <w:t>Meeting with special counsel on 8/2/03 concerning PI suit/target trial date: 1/04.</w:t>
      </w:r>
      <w:r w:rsidRPr="00A845D9">
        <w:rPr>
          <w:sz w:val="16"/>
          <w:szCs w:val="16"/>
        </w:rPr>
        <w:tab/>
      </w:r>
      <w:r w:rsidRPr="00A845D9">
        <w:rPr>
          <w:sz w:val="16"/>
          <w:szCs w:val="16"/>
        </w:rPr>
        <w:tab/>
        <w:t>Public auction of remaining artwork set for 8/15/03</w:t>
      </w:r>
      <w:r w:rsidRPr="00A845D9">
        <w:rPr>
          <w:sz w:val="16"/>
          <w:szCs w:val="16"/>
        </w:rPr>
        <w:tab/>
      </w:r>
    </w:p>
    <w:p w:rsidR="00A845D9" w:rsidRDefault="00A845D9" w:rsidP="00A845D9">
      <w:pPr>
        <w:rPr>
          <w:sz w:val="16"/>
          <w:szCs w:val="16"/>
        </w:rPr>
      </w:pPr>
    </w:p>
    <w:p w:rsidR="00A845D9" w:rsidRDefault="00A845D9" w:rsidP="00A845D9">
      <w:pPr>
        <w:rPr>
          <w:sz w:val="16"/>
          <w:szCs w:val="16"/>
          <w:u w:val="single"/>
        </w:rPr>
      </w:pPr>
      <w:r w:rsidRPr="00A845D9">
        <w:rPr>
          <w:sz w:val="16"/>
          <w:szCs w:val="16"/>
        </w:rPr>
        <w:t>Initial Projected Date of Final Report (TFR):</w:t>
      </w:r>
      <w:r w:rsidRPr="00A845D9">
        <w:rPr>
          <w:sz w:val="16"/>
          <w:szCs w:val="16"/>
          <w:u w:val="single"/>
        </w:rPr>
        <w:t xml:space="preserve"> December 15, 2003 </w:t>
      </w:r>
      <w:r w:rsidRPr="00A845D9">
        <w:rPr>
          <w:sz w:val="16"/>
          <w:szCs w:val="16"/>
        </w:rPr>
        <w:tab/>
        <w:t xml:space="preserve">Current Projected Date of Final Report (TFR): </w:t>
      </w:r>
      <w:r w:rsidRPr="00A845D9">
        <w:rPr>
          <w:sz w:val="16"/>
          <w:szCs w:val="16"/>
          <w:u w:val="single"/>
        </w:rPr>
        <w:t>June 30, 2004</w:t>
      </w:r>
    </w:p>
    <w:p w:rsidR="00A845D9" w:rsidRPr="00A845D9" w:rsidRDefault="00A845D9" w:rsidP="00A845D9">
      <w:pPr>
        <w:rPr>
          <w:sz w:val="16"/>
          <w:szCs w:val="16"/>
        </w:rPr>
      </w:pPr>
    </w:p>
    <w:p w:rsidR="007A3769" w:rsidRDefault="00BD47AF" w:rsidP="00A845D9">
      <w:pPr>
        <w:rPr>
          <w:noProof/>
        </w:rPr>
      </w:pPr>
      <w:r>
        <w:rPr>
          <w:noProof/>
        </w:rPr>
        <w:drawing>
          <wp:inline distT="0" distB="0" distL="0" distR="0">
            <wp:extent cx="8804275" cy="612394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04275" cy="6123940"/>
                    </a:xfrm>
                    <a:prstGeom prst="rect">
                      <a:avLst/>
                    </a:prstGeom>
                    <a:noFill/>
                    <a:ln>
                      <a:noFill/>
                    </a:ln>
                  </pic:spPr>
                </pic:pic>
              </a:graphicData>
            </a:graphic>
          </wp:inline>
        </w:drawing>
      </w:r>
      <w:r w:rsidR="001A4831">
        <w:rPr>
          <w:sz w:val="16"/>
          <w:szCs w:val="16"/>
        </w:rPr>
        <w:br w:type="page"/>
      </w:r>
      <w:r>
        <w:rPr>
          <w:noProof/>
        </w:rPr>
        <w:drawing>
          <wp:inline distT="0" distB="0" distL="0" distR="0">
            <wp:extent cx="8936355" cy="65601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36355" cy="6560185"/>
                    </a:xfrm>
                    <a:prstGeom prst="rect">
                      <a:avLst/>
                    </a:prstGeom>
                    <a:noFill/>
                    <a:ln>
                      <a:noFill/>
                    </a:ln>
                  </pic:spPr>
                </pic:pic>
              </a:graphicData>
            </a:graphic>
          </wp:inline>
        </w:drawing>
      </w:r>
      <w:r w:rsidR="001A4831">
        <w:rPr>
          <w:sz w:val="16"/>
          <w:szCs w:val="16"/>
        </w:rPr>
        <w:br w:type="page"/>
      </w:r>
      <w:r>
        <w:rPr>
          <w:noProof/>
        </w:rPr>
        <w:drawing>
          <wp:inline distT="0" distB="0" distL="0" distR="0">
            <wp:extent cx="9109075" cy="46691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09075" cy="4669155"/>
                    </a:xfrm>
                    <a:prstGeom prst="rect">
                      <a:avLst/>
                    </a:prstGeom>
                    <a:noFill/>
                    <a:ln>
                      <a:noFill/>
                    </a:ln>
                  </pic:spPr>
                </pic:pic>
              </a:graphicData>
            </a:graphic>
          </wp:inline>
        </w:drawing>
      </w:r>
      <w:r w:rsidR="001A4831">
        <w:rPr>
          <w:sz w:val="16"/>
          <w:szCs w:val="16"/>
        </w:rPr>
        <w:br w:type="page"/>
      </w:r>
      <w:r w:rsidR="007A3769">
        <w:rPr>
          <w:noProof/>
        </w:rPr>
        <w:t xml:space="preserve"> </w:t>
      </w:r>
    </w:p>
    <w:p w:rsidR="007A3769" w:rsidRDefault="00BD47AF" w:rsidP="00A845D9">
      <w:pPr>
        <w:rPr>
          <w:noProof/>
        </w:rPr>
      </w:pPr>
      <w:r>
        <w:rPr>
          <w:noProof/>
        </w:rPr>
        <w:drawing>
          <wp:inline distT="0" distB="0" distL="0" distR="0">
            <wp:extent cx="8825230" cy="4987925"/>
            <wp:effectExtent l="0" t="0" r="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5230" cy="4987925"/>
                    </a:xfrm>
                    <a:prstGeom prst="rect">
                      <a:avLst/>
                    </a:prstGeom>
                    <a:noFill/>
                    <a:ln>
                      <a:noFill/>
                    </a:ln>
                  </pic:spPr>
                </pic:pic>
              </a:graphicData>
            </a:graphic>
          </wp:inline>
        </w:drawing>
      </w:r>
      <w:r w:rsidR="007A3769">
        <w:rPr>
          <w:noProof/>
        </w:rPr>
        <w:br w:type="page"/>
      </w:r>
      <w:r>
        <w:rPr>
          <w:noProof/>
        </w:rPr>
        <w:drawing>
          <wp:inline distT="0" distB="0" distL="0" distR="0">
            <wp:extent cx="7682230" cy="5250815"/>
            <wp:effectExtent l="0" t="0" r="0"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2230" cy="5250815"/>
                    </a:xfrm>
                    <a:prstGeom prst="rect">
                      <a:avLst/>
                    </a:prstGeom>
                    <a:noFill/>
                    <a:ln>
                      <a:noFill/>
                    </a:ln>
                  </pic:spPr>
                </pic:pic>
              </a:graphicData>
            </a:graphic>
          </wp:inline>
        </w:drawing>
      </w: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06349D" w:rsidRDefault="0006349D" w:rsidP="00A845D9">
      <w:pPr>
        <w:rPr>
          <w:noProof/>
        </w:rPr>
        <w:sectPr w:rsidR="0006349D" w:rsidSect="00344E54">
          <w:pgSz w:w="15840" w:h="12240" w:orient="landscape"/>
          <w:pgMar w:top="180" w:right="720" w:bottom="270" w:left="720" w:header="180" w:footer="0" w:gutter="0"/>
          <w:cols w:space="720"/>
        </w:sectPr>
      </w:pPr>
    </w:p>
    <w:p w:rsidR="0006349D" w:rsidRPr="005D4E75" w:rsidRDefault="0006349D" w:rsidP="0006349D">
      <w:pPr>
        <w:jc w:val="center"/>
        <w:rPr>
          <w:b/>
          <w:bCs/>
          <w:sz w:val="24"/>
          <w:szCs w:val="24"/>
        </w:rPr>
      </w:pPr>
      <w:r w:rsidRPr="005D4E75">
        <w:rPr>
          <w:sz w:val="24"/>
          <w:szCs w:val="24"/>
          <w:lang w:val="en-CA"/>
        </w:rPr>
        <w:fldChar w:fldCharType="begin"/>
      </w:r>
      <w:r w:rsidRPr="005D4E75">
        <w:rPr>
          <w:sz w:val="24"/>
          <w:szCs w:val="24"/>
          <w:lang w:val="en-CA"/>
        </w:rPr>
        <w:instrText xml:space="preserve"> SEQ CHAPTER \h \r 1</w:instrText>
      </w:r>
      <w:r w:rsidRPr="005D4E75">
        <w:rPr>
          <w:sz w:val="24"/>
          <w:szCs w:val="24"/>
          <w:lang w:val="en-CA"/>
        </w:rPr>
        <w:fldChar w:fldCharType="end"/>
      </w:r>
      <w:r w:rsidRPr="005D4E75">
        <w:rPr>
          <w:b/>
          <w:bCs/>
          <w:sz w:val="24"/>
          <w:szCs w:val="24"/>
        </w:rPr>
        <w:t>SAMPLE CHAPTER 7 CASE #2</w:t>
      </w:r>
    </w:p>
    <w:p w:rsidR="0006349D" w:rsidRPr="005D4E75" w:rsidRDefault="0006349D" w:rsidP="0006349D">
      <w:pPr>
        <w:jc w:val="center"/>
        <w:rPr>
          <w:sz w:val="24"/>
          <w:szCs w:val="24"/>
        </w:rPr>
      </w:pPr>
      <w:r w:rsidRPr="005D4E75">
        <w:rPr>
          <w:b/>
          <w:bCs/>
          <w:sz w:val="24"/>
          <w:szCs w:val="24"/>
        </w:rPr>
        <w:t>AND ILLUSTRATIVE FORMS 1, 2 AND 3</w:t>
      </w:r>
    </w:p>
    <w:p w:rsidR="0006349D" w:rsidRPr="005D4E75" w:rsidRDefault="0006349D" w:rsidP="0006349D">
      <w:pPr>
        <w:jc w:val="center"/>
        <w:rPr>
          <w:sz w:val="24"/>
          <w:szCs w:val="24"/>
        </w:rPr>
      </w:pPr>
    </w:p>
    <w:p w:rsidR="0006349D" w:rsidRPr="005D4E75" w:rsidRDefault="0006349D" w:rsidP="0006349D">
      <w:pPr>
        <w:rPr>
          <w:sz w:val="24"/>
          <w:szCs w:val="24"/>
        </w:rPr>
      </w:pPr>
      <w:r w:rsidRPr="005D4E75">
        <w:rPr>
          <w:sz w:val="24"/>
          <w:szCs w:val="24"/>
        </w:rPr>
        <w:tab/>
        <w:t>Sample Case #2 has been added to illustrate how a successor chapter trustee should prepare Forms 1 and 2.  As noted in the instructions for Form 1 at page Forms page Forms-4, if a trustee is serving as a successor trustee in a chapter 7 case, Form 1 should account for all property listed on the debtor’s original and amended schedules and statement(s) of financial affairs, as well as any assets identified by the prior and successor trustees that were not listed by the debtor.  The partial or full administration of assets by the prior trustee should be explained in Notes to Form 1 or under Major Activities Affecting Case Closing.</w:t>
      </w:r>
    </w:p>
    <w:p w:rsidR="0006349D" w:rsidRPr="005D4E75" w:rsidRDefault="0006349D" w:rsidP="0006349D">
      <w:pPr>
        <w:rPr>
          <w:sz w:val="24"/>
          <w:szCs w:val="24"/>
        </w:rPr>
      </w:pPr>
    </w:p>
    <w:p w:rsidR="0006349D" w:rsidRPr="005D4E75" w:rsidRDefault="0006349D" w:rsidP="0006349D">
      <w:pPr>
        <w:rPr>
          <w:sz w:val="24"/>
          <w:szCs w:val="24"/>
        </w:rPr>
      </w:pPr>
      <w:r w:rsidRPr="005D4E75">
        <w:rPr>
          <w:sz w:val="24"/>
          <w:szCs w:val="24"/>
        </w:rPr>
        <w:tab/>
        <w:t xml:space="preserve">Sam Martin, </w:t>
      </w:r>
      <w:proofErr w:type="spellStart"/>
      <w:r w:rsidRPr="005D4E75">
        <w:rPr>
          <w:sz w:val="24"/>
          <w:szCs w:val="24"/>
        </w:rPr>
        <w:t>dba</w:t>
      </w:r>
      <w:proofErr w:type="spellEnd"/>
      <w:r w:rsidRPr="005D4E75">
        <w:rPr>
          <w:sz w:val="24"/>
          <w:szCs w:val="24"/>
        </w:rPr>
        <w:t xml:space="preserve"> Martin Cards (“Debtor”), filed bankruptcy on November 20, 2010, in a non-community property state and Jenny Ward (“Ward”) was appointed the chapter 7 trustee. On June 30, 2011, Ms. Ward resigned from the case and Jordan Fritch was appointed as the suc</w:t>
      </w:r>
      <w:r w:rsidR="0057592E">
        <w:rPr>
          <w:sz w:val="24"/>
          <w:szCs w:val="24"/>
        </w:rPr>
        <w:t>c</w:t>
      </w:r>
      <w:bookmarkStart w:id="0" w:name="_GoBack"/>
      <w:bookmarkEnd w:id="0"/>
      <w:r w:rsidRPr="005D4E75">
        <w:rPr>
          <w:sz w:val="24"/>
          <w:szCs w:val="24"/>
        </w:rPr>
        <w:t xml:space="preserve">essor trustee.  Ms. Ward’s Forms 1 and 2 as of June 30, 2011, are provided on Sample Case pages </w:t>
      </w:r>
      <w:r w:rsidR="0057592E">
        <w:rPr>
          <w:sz w:val="24"/>
          <w:szCs w:val="24"/>
        </w:rPr>
        <w:t>15</w:t>
      </w:r>
      <w:r w:rsidRPr="005D4E75">
        <w:rPr>
          <w:sz w:val="24"/>
          <w:szCs w:val="24"/>
        </w:rPr>
        <w:t xml:space="preserve"> and </w:t>
      </w:r>
      <w:r w:rsidR="0057592E">
        <w:rPr>
          <w:sz w:val="24"/>
          <w:szCs w:val="24"/>
        </w:rPr>
        <w:t>17</w:t>
      </w:r>
      <w:r w:rsidRPr="005D4E75">
        <w:rPr>
          <w:sz w:val="24"/>
          <w:szCs w:val="24"/>
        </w:rPr>
        <w:t xml:space="preserve">.  Mr. Fritch’s Forms 1 and 2 as of December 31, 2011, are shown on Sample Case pages </w:t>
      </w:r>
      <w:r w:rsidR="0057592E">
        <w:rPr>
          <w:sz w:val="24"/>
          <w:szCs w:val="24"/>
        </w:rPr>
        <w:t>16</w:t>
      </w:r>
      <w:r w:rsidRPr="005D4E75">
        <w:rPr>
          <w:sz w:val="24"/>
          <w:szCs w:val="24"/>
        </w:rPr>
        <w:t xml:space="preserve"> and </w:t>
      </w:r>
      <w:r w:rsidR="0057592E">
        <w:rPr>
          <w:sz w:val="24"/>
          <w:szCs w:val="24"/>
        </w:rPr>
        <w:t>18</w:t>
      </w:r>
      <w:r w:rsidRPr="005D4E75">
        <w:rPr>
          <w:sz w:val="24"/>
          <w:szCs w:val="24"/>
        </w:rPr>
        <w:t>.</w:t>
      </w:r>
    </w:p>
    <w:p w:rsidR="007A3769" w:rsidRPr="005D4E75"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7A3769" w:rsidRDefault="007A3769" w:rsidP="00A845D9">
      <w:pPr>
        <w:rPr>
          <w:noProof/>
        </w:rPr>
      </w:pPr>
    </w:p>
    <w:p w:rsidR="0006349D" w:rsidRDefault="0006349D" w:rsidP="00A845D9">
      <w:pPr>
        <w:rPr>
          <w:noProof/>
        </w:rPr>
        <w:sectPr w:rsidR="0006349D" w:rsidSect="00344E54">
          <w:pgSz w:w="12240" w:h="15840"/>
          <w:pgMar w:top="1440" w:right="1440" w:bottom="1440" w:left="1440" w:header="1440" w:footer="262" w:gutter="0"/>
          <w:cols w:space="720"/>
          <w:docGrid w:linePitch="272"/>
        </w:sectPr>
      </w:pPr>
    </w:p>
    <w:p w:rsidR="007A3769" w:rsidRDefault="00BD47AF" w:rsidP="00A845D9">
      <w:pPr>
        <w:rPr>
          <w:noProof/>
        </w:rPr>
        <w:sectPr w:rsidR="007A3769" w:rsidSect="00344E54">
          <w:pgSz w:w="15840" w:h="12240" w:orient="landscape"/>
          <w:pgMar w:top="720" w:right="288" w:bottom="720" w:left="288" w:header="1440" w:footer="0" w:gutter="0"/>
          <w:cols w:space="720"/>
          <w:docGrid w:linePitch="272"/>
        </w:sectPr>
      </w:pPr>
      <w:r>
        <w:rPr>
          <w:noProof/>
        </w:rPr>
        <w:drawing>
          <wp:inline distT="0" distB="0" distL="0" distR="0">
            <wp:extent cx="7924800" cy="55143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0" cy="5514340"/>
                    </a:xfrm>
                    <a:prstGeom prst="rect">
                      <a:avLst/>
                    </a:prstGeom>
                    <a:noFill/>
                    <a:ln>
                      <a:noFill/>
                    </a:ln>
                  </pic:spPr>
                </pic:pic>
              </a:graphicData>
            </a:graphic>
          </wp:inline>
        </w:drawing>
      </w:r>
    </w:p>
    <w:p w:rsidR="007A3769" w:rsidRDefault="00BD47AF" w:rsidP="00A845D9">
      <w:pPr>
        <w:rPr>
          <w:noProof/>
        </w:rPr>
      </w:pPr>
      <w:r>
        <w:rPr>
          <w:noProof/>
        </w:rPr>
        <w:drawing>
          <wp:inline distT="0" distB="0" distL="0" distR="0">
            <wp:extent cx="7744460" cy="6068060"/>
            <wp:effectExtent l="0" t="0" r="8890" b="889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4460" cy="6068060"/>
                    </a:xfrm>
                    <a:prstGeom prst="rect">
                      <a:avLst/>
                    </a:prstGeom>
                    <a:noFill/>
                    <a:ln>
                      <a:noFill/>
                    </a:ln>
                  </pic:spPr>
                </pic:pic>
              </a:graphicData>
            </a:graphic>
          </wp:inline>
        </w:drawing>
      </w:r>
    </w:p>
    <w:p w:rsidR="007A3769" w:rsidRDefault="007A3769" w:rsidP="00A845D9">
      <w:pPr>
        <w:rPr>
          <w:noProof/>
        </w:rPr>
      </w:pPr>
    </w:p>
    <w:p w:rsidR="007A3769" w:rsidRDefault="00BD47AF" w:rsidP="00A845D9">
      <w:pPr>
        <w:rPr>
          <w:noProof/>
        </w:rPr>
      </w:pPr>
      <w:r>
        <w:rPr>
          <w:noProof/>
        </w:rPr>
        <w:drawing>
          <wp:inline distT="0" distB="0" distL="0" distR="0">
            <wp:extent cx="8063230" cy="6068060"/>
            <wp:effectExtent l="0" t="0" r="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63230" cy="6068060"/>
                    </a:xfrm>
                    <a:prstGeom prst="rect">
                      <a:avLst/>
                    </a:prstGeom>
                    <a:noFill/>
                    <a:ln>
                      <a:noFill/>
                    </a:ln>
                  </pic:spPr>
                </pic:pic>
              </a:graphicData>
            </a:graphic>
          </wp:inline>
        </w:drawing>
      </w:r>
    </w:p>
    <w:p w:rsidR="007A3769" w:rsidRDefault="007A3769" w:rsidP="00A845D9">
      <w:pPr>
        <w:rPr>
          <w:noProof/>
        </w:rPr>
      </w:pPr>
    </w:p>
    <w:p w:rsidR="007A3769" w:rsidRDefault="00BD47AF" w:rsidP="00A845D9">
      <w:pPr>
        <w:rPr>
          <w:noProof/>
        </w:rPr>
      </w:pPr>
      <w:r>
        <w:rPr>
          <w:noProof/>
        </w:rPr>
        <w:drawing>
          <wp:inline distT="0" distB="0" distL="0" distR="0">
            <wp:extent cx="8402955" cy="573595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02955" cy="5735955"/>
                    </a:xfrm>
                    <a:prstGeom prst="rect">
                      <a:avLst/>
                    </a:prstGeom>
                    <a:noFill/>
                    <a:ln>
                      <a:noFill/>
                    </a:ln>
                  </pic:spPr>
                </pic:pic>
              </a:graphicData>
            </a:graphic>
          </wp:inline>
        </w:drawing>
      </w:r>
    </w:p>
    <w:p w:rsidR="00260855" w:rsidRDefault="00260855" w:rsidP="00A845D9">
      <w:pPr>
        <w:rPr>
          <w:noProof/>
        </w:rPr>
      </w:pPr>
    </w:p>
    <w:p w:rsidR="00260855" w:rsidRDefault="00260855" w:rsidP="00A845D9">
      <w:pPr>
        <w:rPr>
          <w:noProof/>
        </w:rPr>
        <w:sectPr w:rsidR="00260855" w:rsidSect="00344E54">
          <w:pgSz w:w="15840" w:h="12240" w:orient="landscape"/>
          <w:pgMar w:top="720" w:right="288" w:bottom="720" w:left="288" w:header="1440" w:footer="172" w:gutter="0"/>
          <w:cols w:space="720"/>
          <w:docGrid w:linePitch="272"/>
        </w:sectPr>
      </w:pPr>
    </w:p>
    <w:p w:rsidR="00463B75" w:rsidRPr="00B2288D" w:rsidRDefault="00463B75" w:rsidP="00DA3F8F">
      <w:pPr>
        <w:jc w:val="center"/>
        <w:rPr>
          <w:sz w:val="24"/>
          <w:szCs w:val="24"/>
        </w:rPr>
      </w:pPr>
    </w:p>
    <w:sectPr w:rsidR="00463B75" w:rsidRPr="00B2288D" w:rsidSect="00434171">
      <w:headerReference w:type="default" r:id="rId20"/>
      <w:footerReference w:type="default" r:id="rId21"/>
      <w:pgSz w:w="12240" w:h="15840"/>
      <w:pgMar w:top="1440" w:right="1440" w:bottom="1170" w:left="1440" w:header="1440" w:footer="67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87" w:rsidRDefault="005E7587">
      <w:r>
        <w:separator/>
      </w:r>
    </w:p>
  </w:endnote>
  <w:endnote w:type="continuationSeparator" w:id="0">
    <w:p w:rsidR="005E7587" w:rsidRDefault="005E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54" w:rsidRDefault="00344E54">
    <w:pPr>
      <w:pStyle w:val="Footer"/>
      <w:jc w:val="center"/>
    </w:pPr>
  </w:p>
  <w:p w:rsidR="00344E54" w:rsidRDefault="00344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380911"/>
      <w:docPartObj>
        <w:docPartGallery w:val="Page Numbers (Bottom of Page)"/>
        <w:docPartUnique/>
      </w:docPartObj>
    </w:sdtPr>
    <w:sdtEndPr/>
    <w:sdtContent>
      <w:sdt>
        <w:sdtPr>
          <w:id w:val="-1669238322"/>
          <w:docPartObj>
            <w:docPartGallery w:val="Page Numbers (Top of Page)"/>
            <w:docPartUnique/>
          </w:docPartObj>
        </w:sdtPr>
        <w:sdtEndPr/>
        <w:sdtContent>
          <w:p w:rsidR="00344E54" w:rsidRDefault="00344E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592E">
              <w:rPr>
                <w:b/>
                <w:bCs/>
                <w:noProof/>
              </w:rPr>
              <w:t>14</w:t>
            </w:r>
            <w:r>
              <w:rPr>
                <w:b/>
                <w:bCs/>
                <w:sz w:val="24"/>
                <w:szCs w:val="24"/>
              </w:rPr>
              <w:fldChar w:fldCharType="end"/>
            </w:r>
            <w:r>
              <w:t xml:space="preserve"> of </w:t>
            </w:r>
            <w:r w:rsidRPr="00344E54">
              <w:rPr>
                <w:b/>
              </w:rPr>
              <w:t>18</w:t>
            </w:r>
          </w:p>
        </w:sdtContent>
      </w:sdt>
    </w:sdtContent>
  </w:sdt>
  <w:p w:rsidR="005E7587" w:rsidRDefault="005E7587">
    <w:pPr>
      <w:rPr>
        <w:b/>
        <w:bCs/>
        <w:i/>
        <w:i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87" w:rsidRDefault="005E7587">
      <w:r>
        <w:separator/>
      </w:r>
    </w:p>
  </w:footnote>
  <w:footnote w:type="continuationSeparator" w:id="0">
    <w:p w:rsidR="005E7587" w:rsidRDefault="005E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F4FCDC"/>
    <w:lvl w:ilvl="0">
      <w:numFmt w:val="bullet"/>
      <w:lvlText w:val="*"/>
      <w:lvlJc w:val="left"/>
    </w:lvl>
  </w:abstractNum>
  <w:abstractNum w:abstractNumId="1">
    <w:nsid w:val="00310391"/>
    <w:multiLevelType w:val="multilevel"/>
    <w:tmpl w:val="0068F830"/>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4F568D6"/>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06093C89"/>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08B06C2C"/>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093F5698"/>
    <w:multiLevelType w:val="hybridMultilevel"/>
    <w:tmpl w:val="A586B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52928"/>
    <w:multiLevelType w:val="multilevel"/>
    <w:tmpl w:val="4A4474A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nsid w:val="16E5070C"/>
    <w:multiLevelType w:val="multilevel"/>
    <w:tmpl w:val="33408CA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1A316FBA"/>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1A653880"/>
    <w:multiLevelType w:val="multilevel"/>
    <w:tmpl w:val="AE1E2FF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0A05C2D"/>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3722DB"/>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269A182C"/>
    <w:multiLevelType w:val="multilevel"/>
    <w:tmpl w:val="FDE02AAE"/>
    <w:lvl w:ilvl="0">
      <w:start w:val="3"/>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97102F3"/>
    <w:multiLevelType w:val="multilevel"/>
    <w:tmpl w:val="8BD04336"/>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4E617B1"/>
    <w:multiLevelType w:val="multilevel"/>
    <w:tmpl w:val="31FAC818"/>
    <w:lvl w:ilvl="0">
      <w:start w:val="3"/>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7A865EE"/>
    <w:multiLevelType w:val="multilevel"/>
    <w:tmpl w:val="4D563FC2"/>
    <w:lvl w:ilvl="0">
      <w:start w:val="3"/>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8277F3A"/>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BF852A6"/>
    <w:multiLevelType w:val="hybridMultilevel"/>
    <w:tmpl w:val="D5F8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124E7"/>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DA31F1"/>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F101C1"/>
    <w:multiLevelType w:val="multilevel"/>
    <w:tmpl w:val="06982D9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C010816"/>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F077D91"/>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087006C"/>
    <w:multiLevelType w:val="hybridMultilevel"/>
    <w:tmpl w:val="466AA148"/>
    <w:lvl w:ilvl="0" w:tplc="6CD47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240972"/>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F2D7A83"/>
    <w:multiLevelType w:val="multilevel"/>
    <w:tmpl w:val="000ACC12"/>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F446E16"/>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8DB69A0"/>
    <w:multiLevelType w:val="hybridMultilevel"/>
    <w:tmpl w:val="BFF83C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C25EE3"/>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nsid w:val="6ED12449"/>
    <w:multiLevelType w:val="multilevel"/>
    <w:tmpl w:val="9CFE3286"/>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ED36A23"/>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nsid w:val="6FD51A8A"/>
    <w:multiLevelType w:val="multilevel"/>
    <w:tmpl w:val="BC84A1E6"/>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2">
    <w:nsid w:val="70A962F9"/>
    <w:multiLevelType w:val="multilevel"/>
    <w:tmpl w:val="6A78F35E"/>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73EB5BE6"/>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nsid w:val="74B877E7"/>
    <w:multiLevelType w:val="multilevel"/>
    <w:tmpl w:val="3B188EFC"/>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6363EA4"/>
    <w:multiLevelType w:val="multilevel"/>
    <w:tmpl w:val="CDA26854"/>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777818C2"/>
    <w:multiLevelType w:val="multilevel"/>
    <w:tmpl w:val="1EB6878A"/>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nsid w:val="781D3985"/>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7AFF51A6"/>
    <w:multiLevelType w:val="multilevel"/>
    <w:tmpl w:val="22069A92"/>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nsid w:val="7BCF7696"/>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7E590205"/>
    <w:multiLevelType w:val="hybridMultilevel"/>
    <w:tmpl w:val="712E8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1"/>
  </w:num>
  <w:num w:numId="5">
    <w:abstractNumId w:val="0"/>
    <w:lvlOverride w:ilvl="0">
      <w:lvl w:ilvl="0">
        <w:start w:val="3"/>
        <w:numFmt w:val="bullet"/>
        <w:lvlText w:val=" "/>
        <w:legacy w:legacy="1" w:legacySpace="0" w:legacyIndent="1"/>
        <w:lvlJc w:val="left"/>
        <w:pPr>
          <w:ind w:left="1" w:hanging="1"/>
        </w:pPr>
        <w:rPr>
          <w:rFonts w:ascii="Times New Roman" w:hAnsi="Times New Roman" w:cs="Times New Roman" w:hint="default"/>
        </w:rPr>
      </w:lvl>
    </w:lvlOverride>
  </w:num>
  <w:num w:numId="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7">
    <w:abstractNumId w:val="0"/>
    <w:lvlOverride w:ilvl="0">
      <w:lvl w:ilvl="0">
        <w:start w:val="4"/>
        <w:numFmt w:val="bullet"/>
        <w:lvlText w:val=" "/>
        <w:legacy w:legacy="1" w:legacySpace="0" w:legacyIndent="1"/>
        <w:lvlJc w:val="left"/>
        <w:pPr>
          <w:ind w:left="721" w:hanging="1"/>
        </w:pPr>
        <w:rPr>
          <w:rFonts w:ascii="Times New Roman" w:hAnsi="Times New Roman" w:cs="Times New Roman" w:hint="default"/>
        </w:rPr>
      </w:lvl>
    </w:lvlOverride>
  </w:num>
  <w:num w:numId="8">
    <w:abstractNumId w:val="4"/>
  </w:num>
  <w:num w:numId="9">
    <w:abstractNumId w:val="8"/>
  </w:num>
  <w:num w:numId="10">
    <w:abstractNumId w:val="39"/>
  </w:num>
  <w:num w:numId="11">
    <w:abstractNumId w:val="21"/>
  </w:num>
  <w:num w:numId="12">
    <w:abstractNumId w:val="15"/>
  </w:num>
  <w:num w:numId="13">
    <w:abstractNumId w:val="16"/>
  </w:num>
  <w:num w:numId="14">
    <w:abstractNumId w:val="38"/>
  </w:num>
  <w:num w:numId="15">
    <w:abstractNumId w:val="12"/>
  </w:num>
  <w:num w:numId="16">
    <w:abstractNumId w:val="26"/>
  </w:num>
  <w:num w:numId="17">
    <w:abstractNumId w:val="32"/>
  </w:num>
  <w:num w:numId="18">
    <w:abstractNumId w:val="29"/>
  </w:num>
  <w:num w:numId="19">
    <w:abstractNumId w:val="22"/>
  </w:num>
  <w:num w:numId="20">
    <w:abstractNumId w:val="17"/>
  </w:num>
  <w:num w:numId="21">
    <w:abstractNumId w:val="23"/>
  </w:num>
  <w:num w:numId="22">
    <w:abstractNumId w:val="40"/>
  </w:num>
  <w:num w:numId="23">
    <w:abstractNumId w:val="20"/>
  </w:num>
  <w:num w:numId="24">
    <w:abstractNumId w:val="2"/>
  </w:num>
  <w:num w:numId="25">
    <w:abstractNumId w:val="28"/>
  </w:num>
  <w:num w:numId="26">
    <w:abstractNumId w:val="18"/>
  </w:num>
  <w:num w:numId="27">
    <w:abstractNumId w:val="6"/>
  </w:num>
  <w:num w:numId="28">
    <w:abstractNumId w:val="3"/>
  </w:num>
  <w:num w:numId="29">
    <w:abstractNumId w:val="36"/>
  </w:num>
  <w:num w:numId="30">
    <w:abstractNumId w:val="7"/>
  </w:num>
  <w:num w:numId="31">
    <w:abstractNumId w:val="24"/>
  </w:num>
  <w:num w:numId="32">
    <w:abstractNumId w:val="35"/>
  </w:num>
  <w:num w:numId="33">
    <w:abstractNumId w:val="30"/>
  </w:num>
  <w:num w:numId="34">
    <w:abstractNumId w:val="9"/>
  </w:num>
  <w:num w:numId="35">
    <w:abstractNumId w:val="14"/>
  </w:num>
  <w:num w:numId="36">
    <w:abstractNumId w:val="37"/>
  </w:num>
  <w:num w:numId="37">
    <w:abstractNumId w:val="13"/>
  </w:num>
  <w:num w:numId="38">
    <w:abstractNumId w:val="1"/>
  </w:num>
  <w:num w:numId="39">
    <w:abstractNumId w:val="33"/>
  </w:num>
  <w:num w:numId="40">
    <w:abstractNumId w:val="27"/>
  </w:num>
  <w:num w:numId="41">
    <w:abstractNumId w:val="10"/>
  </w:num>
  <w:num w:numId="42">
    <w:abstractNumId w:val="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54"/>
    <w:rsid w:val="00024B97"/>
    <w:rsid w:val="000503F9"/>
    <w:rsid w:val="0006349D"/>
    <w:rsid w:val="00101C63"/>
    <w:rsid w:val="001A4831"/>
    <w:rsid w:val="001C11B5"/>
    <w:rsid w:val="00255E95"/>
    <w:rsid w:val="00260855"/>
    <w:rsid w:val="002A0535"/>
    <w:rsid w:val="002D4763"/>
    <w:rsid w:val="00344E54"/>
    <w:rsid w:val="00434171"/>
    <w:rsid w:val="00455D81"/>
    <w:rsid w:val="00463B75"/>
    <w:rsid w:val="00537CD3"/>
    <w:rsid w:val="005554DE"/>
    <w:rsid w:val="0057592E"/>
    <w:rsid w:val="005D16CD"/>
    <w:rsid w:val="005D4E75"/>
    <w:rsid w:val="005E7587"/>
    <w:rsid w:val="00695678"/>
    <w:rsid w:val="00733281"/>
    <w:rsid w:val="007561EE"/>
    <w:rsid w:val="007875BB"/>
    <w:rsid w:val="007A3769"/>
    <w:rsid w:val="007C4AE1"/>
    <w:rsid w:val="007E388E"/>
    <w:rsid w:val="00826CCC"/>
    <w:rsid w:val="00863400"/>
    <w:rsid w:val="00873120"/>
    <w:rsid w:val="00876434"/>
    <w:rsid w:val="00892069"/>
    <w:rsid w:val="009044CB"/>
    <w:rsid w:val="00920000"/>
    <w:rsid w:val="00964F9B"/>
    <w:rsid w:val="00974A07"/>
    <w:rsid w:val="009F5554"/>
    <w:rsid w:val="00A15747"/>
    <w:rsid w:val="00A443C6"/>
    <w:rsid w:val="00A845D9"/>
    <w:rsid w:val="00AA03AB"/>
    <w:rsid w:val="00B2288D"/>
    <w:rsid w:val="00BC0A5D"/>
    <w:rsid w:val="00BD47AF"/>
    <w:rsid w:val="00C135D8"/>
    <w:rsid w:val="00C53E11"/>
    <w:rsid w:val="00C54DCB"/>
    <w:rsid w:val="00C85A89"/>
    <w:rsid w:val="00DA3F8F"/>
    <w:rsid w:val="00F40C71"/>
    <w:rsid w:val="00F53B9A"/>
    <w:rsid w:val="00F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EA19-B5AF-4159-8B37-F53CC352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3665</Words>
  <Characters>18955</Characters>
  <Application>Microsoft Office Word</Application>
  <DocSecurity>4</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US Trustee Program</cp:lastModifiedBy>
  <cp:revision>2</cp:revision>
  <cp:lastPrinted>2012-07-02T21:18:00Z</cp:lastPrinted>
  <dcterms:created xsi:type="dcterms:W3CDTF">2013-05-09T19:16:00Z</dcterms:created>
  <dcterms:modified xsi:type="dcterms:W3CDTF">2013-05-09T19:16:00Z</dcterms:modified>
</cp:coreProperties>
</file>