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71" w:rsidRDefault="00F008B5">
      <w:pPr>
        <w:framePr w:w="1497" w:h="1201" w:hRule="exact" w:hSpace="240" w:vSpace="240" w:wrap="auto" w:hAnchor="margin" w:x="-253" w:y="-105"/>
        <w:pBdr>
          <w:top w:val="single" w:sz="6" w:space="0" w:color="FFFFFF"/>
          <w:left w:val="single" w:sz="6" w:space="0" w:color="FFFFFF"/>
          <w:bottom w:val="single" w:sz="6" w:space="0" w:color="FFFFFF"/>
          <w:right w:val="single" w:sz="6" w:space="0" w:color="FFFFFF"/>
        </w:pBdr>
        <w:rPr>
          <w:sz w:val="24"/>
        </w:rPr>
      </w:pPr>
      <w:bookmarkStart w:id="0" w:name="_GoBack"/>
      <w:bookmarkEnd w:id="0"/>
      <w:r>
        <w:rPr>
          <w:noProof/>
          <w:sz w:val="24"/>
        </w:rPr>
        <w:drawing>
          <wp:inline distT="0" distB="0" distL="0" distR="0">
            <wp:extent cx="9525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952500" cy="762000"/>
                    </a:xfrm>
                    <a:prstGeom prst="rect">
                      <a:avLst/>
                    </a:prstGeom>
                    <a:noFill/>
                    <a:ln>
                      <a:noFill/>
                    </a:ln>
                  </pic:spPr>
                </pic:pic>
              </a:graphicData>
            </a:graphic>
          </wp:inline>
        </w:drawing>
      </w:r>
    </w:p>
    <w:p w:rsidR="00617D71" w:rsidRPr="007A5476" w:rsidRDefault="00B76022">
      <w:pPr>
        <w:widowControl/>
        <w:tabs>
          <w:tab w:val="left" w:pos="-1440"/>
          <w:tab w:val="left" w:pos="-720"/>
          <w:tab w:val="left" w:pos="0"/>
          <w:tab w:val="left" w:pos="720"/>
          <w:tab w:val="left" w:pos="1440"/>
          <w:tab w:val="left" w:pos="2160"/>
          <w:tab w:val="left" w:pos="2640"/>
          <w:tab w:val="left" w:pos="3360"/>
        </w:tabs>
        <w:ind w:firstLine="2640"/>
        <w:rPr>
          <w:sz w:val="24"/>
        </w:rPr>
      </w:pPr>
      <w:r>
        <w:rPr>
          <w:rFonts w:ascii="Courier New" w:hAnsi="Courier New" w:cs="Courier New"/>
          <w:color w:val="0000FF"/>
          <w:sz w:val="24"/>
        </w:rPr>
        <w:tab/>
      </w:r>
      <w:r>
        <w:rPr>
          <w:rFonts w:ascii="Courier New" w:hAnsi="Courier New" w:cs="Courier New"/>
          <w:color w:val="0000FF"/>
          <w:sz w:val="24"/>
        </w:rPr>
        <w:tab/>
      </w:r>
      <w:r w:rsidR="00617D71" w:rsidRPr="007A5476">
        <w:rPr>
          <w:b/>
          <w:bCs/>
          <w:sz w:val="24"/>
        </w:rPr>
        <w:t>U.S. Department of Justice</w:t>
      </w:r>
    </w:p>
    <w:p w:rsidR="00617D71" w:rsidRPr="007A5476" w:rsidRDefault="00617D71">
      <w:pPr>
        <w:widowControl/>
        <w:tabs>
          <w:tab w:val="left" w:pos="-1440"/>
          <w:tab w:val="left" w:pos="-720"/>
          <w:tab w:val="left" w:pos="0"/>
          <w:tab w:val="left" w:pos="720"/>
          <w:tab w:val="left" w:pos="1440"/>
          <w:tab w:val="left" w:pos="2160"/>
          <w:tab w:val="left" w:pos="2640"/>
          <w:tab w:val="left" w:pos="3360"/>
        </w:tabs>
        <w:rPr>
          <w:sz w:val="24"/>
        </w:rPr>
      </w:pPr>
    </w:p>
    <w:p w:rsidR="00977532" w:rsidRPr="007A5476" w:rsidRDefault="00617D71" w:rsidP="00977532">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573D15">
        <w:rPr>
          <w:sz w:val="24"/>
        </w:rPr>
        <w:t xml:space="preserve">Executive </w:t>
      </w:r>
      <w:r w:rsidRPr="007A5476">
        <w:rPr>
          <w:sz w:val="24"/>
        </w:rPr>
        <w:t>Office for United States Trustees</w:t>
      </w:r>
    </w:p>
    <w:p w:rsidR="00B76022" w:rsidRDefault="00617D71" w:rsidP="00573D15">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924D16">
        <w:rPr>
          <w:sz w:val="24"/>
        </w:rPr>
        <w:tab/>
      </w:r>
    </w:p>
    <w:p w:rsidR="00573D15" w:rsidRPr="007A5476" w:rsidRDefault="00573D15" w:rsidP="00573D15">
      <w:pPr>
        <w:widowControl/>
        <w:tabs>
          <w:tab w:val="left" w:pos="-1440"/>
          <w:tab w:val="left" w:pos="-720"/>
          <w:tab w:val="left" w:pos="0"/>
          <w:tab w:val="left" w:pos="720"/>
          <w:tab w:val="left" w:pos="1440"/>
          <w:tab w:val="left" w:pos="2160"/>
          <w:tab w:val="left" w:pos="2640"/>
          <w:tab w:val="left" w:pos="3360"/>
        </w:tabs>
        <w:ind w:firstLine="2640"/>
        <w:rPr>
          <w:sz w:val="24"/>
        </w:rPr>
      </w:pPr>
    </w:p>
    <w:p w:rsidR="00B76022" w:rsidRPr="007A5476" w:rsidRDefault="00F008B5" w:rsidP="00B76022">
      <w:pPr>
        <w:widowControl/>
        <w:tabs>
          <w:tab w:val="left" w:pos="-1440"/>
          <w:tab w:val="left" w:pos="-720"/>
          <w:tab w:val="left" w:pos="0"/>
          <w:tab w:val="left" w:pos="720"/>
          <w:tab w:val="left" w:pos="1440"/>
          <w:tab w:val="left" w:pos="2160"/>
          <w:tab w:val="left" w:pos="2640"/>
          <w:tab w:val="left" w:pos="3360"/>
        </w:tabs>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93980</wp:posOffset>
                </wp:positionV>
                <wp:extent cx="6477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pt" to="50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JyFAIAACg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" strokecolor="blue"/>
            </w:pict>
          </mc:Fallback>
        </mc:AlternateContent>
      </w:r>
    </w:p>
    <w:p w:rsidR="00022714" w:rsidRPr="00022714" w:rsidRDefault="005B2982" w:rsidP="00022714">
      <w:pPr>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rPr>
          <w:sz w:val="14"/>
          <w:szCs w:val="14"/>
        </w:rPr>
      </w:pPr>
      <w:r>
        <w:rPr>
          <w:i/>
          <w:sz w:val="14"/>
          <w:szCs w:val="14"/>
        </w:rPr>
        <w:t xml:space="preserve">Office of </w:t>
      </w:r>
      <w:proofErr w:type="gramStart"/>
      <w:r>
        <w:rPr>
          <w:i/>
          <w:sz w:val="14"/>
          <w:szCs w:val="14"/>
        </w:rPr>
        <w:t>Oversight</w:t>
      </w:r>
      <w:r w:rsidR="00A829FA">
        <w:rPr>
          <w:i/>
          <w:sz w:val="14"/>
          <w:szCs w:val="14"/>
        </w:rPr>
        <w:t xml:space="preserve"> </w:t>
      </w:r>
      <w:r w:rsidR="00022714" w:rsidRPr="00022714">
        <w:rPr>
          <w:sz w:val="14"/>
          <w:szCs w:val="14"/>
        </w:rPr>
        <w:tab/>
      </w:r>
      <w:r w:rsidR="00022714" w:rsidRPr="00022714">
        <w:rPr>
          <w:i/>
          <w:iCs/>
          <w:sz w:val="24"/>
        </w:rPr>
        <w:tab/>
      </w:r>
      <w:r w:rsidR="00022714" w:rsidRPr="00022714">
        <w:rPr>
          <w:i/>
          <w:iCs/>
          <w:sz w:val="24"/>
        </w:rPr>
        <w:tab/>
      </w:r>
      <w:r w:rsidR="00022714" w:rsidRPr="00022714">
        <w:rPr>
          <w:i/>
          <w:iCs/>
          <w:sz w:val="14"/>
          <w:szCs w:val="14"/>
        </w:rPr>
        <w:tab/>
      </w:r>
      <w:r w:rsidR="00022714" w:rsidRPr="00022714">
        <w:rPr>
          <w:i/>
          <w:iCs/>
          <w:sz w:val="14"/>
          <w:szCs w:val="14"/>
        </w:rPr>
        <w:tab/>
      </w:r>
      <w:r w:rsidR="00022714">
        <w:rPr>
          <w:i/>
          <w:iCs/>
          <w:sz w:val="14"/>
          <w:szCs w:val="14"/>
        </w:rPr>
        <w:tab/>
        <w:t xml:space="preserve">  </w:t>
      </w:r>
      <w:r>
        <w:rPr>
          <w:i/>
          <w:iCs/>
          <w:sz w:val="14"/>
          <w:szCs w:val="14"/>
        </w:rPr>
        <w:t>441 G Street</w:t>
      </w:r>
      <w:proofErr w:type="gramEnd"/>
      <w:r>
        <w:rPr>
          <w:i/>
          <w:iCs/>
          <w:sz w:val="14"/>
          <w:szCs w:val="14"/>
        </w:rPr>
        <w:t>, N.W., Suite 6150</w:t>
      </w:r>
    </w:p>
    <w:p w:rsidR="00022714" w:rsidRDefault="00022714" w:rsidP="00022714">
      <w:pPr>
        <w:widowControl/>
        <w:tabs>
          <w:tab w:val="left" w:pos="-1440"/>
          <w:tab w:val="left" w:pos="-720"/>
          <w:tab w:val="left" w:pos="0"/>
          <w:tab w:val="left" w:pos="720"/>
          <w:tab w:val="left" w:pos="1440"/>
          <w:tab w:val="left" w:pos="2160"/>
          <w:tab w:val="left" w:pos="2640"/>
          <w:tab w:val="left" w:pos="3360"/>
        </w:tabs>
        <w:rPr>
          <w:sz w:val="24"/>
        </w:rPr>
      </w:pP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Pr>
          <w:sz w:val="14"/>
          <w:szCs w:val="14"/>
        </w:rPr>
        <w:tab/>
      </w:r>
      <w:r>
        <w:rPr>
          <w:sz w:val="14"/>
          <w:szCs w:val="14"/>
        </w:rPr>
        <w:tab/>
        <w:t xml:space="preserve">  </w:t>
      </w:r>
      <w:r w:rsidRPr="00022714">
        <w:rPr>
          <w:i/>
          <w:iCs/>
          <w:sz w:val="14"/>
          <w:szCs w:val="14"/>
        </w:rPr>
        <w:t>Washington, D.C.  20530</w:t>
      </w:r>
      <w:r>
        <w:rPr>
          <w:sz w:val="24"/>
        </w:rPr>
        <w:tab/>
      </w:r>
      <w:r>
        <w:rPr>
          <w:sz w:val="24"/>
        </w:rPr>
        <w:tab/>
      </w:r>
      <w:r>
        <w:rPr>
          <w:sz w:val="24"/>
        </w:rPr>
        <w:tab/>
      </w:r>
      <w:r>
        <w:rPr>
          <w:sz w:val="24"/>
        </w:rPr>
        <w:tab/>
      </w:r>
      <w:r>
        <w:rPr>
          <w:sz w:val="24"/>
        </w:rPr>
        <w:tab/>
      </w:r>
      <w:r>
        <w:rPr>
          <w:sz w:val="24"/>
        </w:rPr>
        <w:tab/>
      </w:r>
      <w:r>
        <w:rPr>
          <w:sz w:val="24"/>
        </w:rPr>
        <w:tab/>
      </w:r>
    </w:p>
    <w:p w:rsidR="00736F46" w:rsidRDefault="00736F46" w:rsidP="00022714">
      <w:pPr>
        <w:widowControl/>
        <w:tabs>
          <w:tab w:val="left" w:pos="-1440"/>
          <w:tab w:val="left" w:pos="-720"/>
          <w:tab w:val="left" w:pos="0"/>
          <w:tab w:val="left" w:pos="720"/>
          <w:tab w:val="left" w:pos="1440"/>
          <w:tab w:val="left" w:pos="2160"/>
          <w:tab w:val="left" w:pos="2640"/>
          <w:tab w:val="left" w:pos="3360"/>
        </w:tabs>
        <w:rPr>
          <w:sz w:val="24"/>
        </w:rPr>
      </w:pPr>
    </w:p>
    <w:p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LIST OF CHANGES AND UPDATES TO THE</w:t>
      </w:r>
    </w:p>
    <w:p w:rsid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HANDBOOK FOR CHAPTER 7 TRUSTEES</w:t>
      </w:r>
    </w:p>
    <w:p w:rsidR="00F9308D" w:rsidRPr="00736F46" w:rsidRDefault="00F9308D" w:rsidP="00736F46">
      <w:pPr>
        <w:widowControl/>
        <w:tabs>
          <w:tab w:val="left" w:pos="-1440"/>
          <w:tab w:val="left" w:pos="-720"/>
          <w:tab w:val="left" w:pos="0"/>
          <w:tab w:val="left" w:pos="720"/>
          <w:tab w:val="left" w:pos="1440"/>
          <w:tab w:val="left" w:pos="2160"/>
          <w:tab w:val="left" w:pos="2640"/>
          <w:tab w:val="left" w:pos="3360"/>
        </w:tabs>
        <w:jc w:val="center"/>
        <w:rPr>
          <w:b/>
          <w:sz w:val="24"/>
        </w:rPr>
      </w:pPr>
      <w:r>
        <w:rPr>
          <w:b/>
          <w:sz w:val="24"/>
        </w:rPr>
        <w:t>AND SUPPLEMENTARY MATERIALS</w:t>
      </w:r>
    </w:p>
    <w:p w:rsidR="00736F46" w:rsidRPr="00736F46" w:rsidRDefault="00943CA9" w:rsidP="00736F46">
      <w:pPr>
        <w:widowControl/>
        <w:tabs>
          <w:tab w:val="left" w:pos="-1440"/>
          <w:tab w:val="left" w:pos="-720"/>
          <w:tab w:val="left" w:pos="0"/>
          <w:tab w:val="left" w:pos="720"/>
          <w:tab w:val="left" w:pos="1440"/>
          <w:tab w:val="left" w:pos="2160"/>
          <w:tab w:val="left" w:pos="2640"/>
          <w:tab w:val="left" w:pos="3360"/>
        </w:tabs>
        <w:jc w:val="center"/>
        <w:rPr>
          <w:b/>
          <w:sz w:val="24"/>
        </w:rPr>
      </w:pPr>
      <w:r>
        <w:rPr>
          <w:b/>
          <w:sz w:val="24"/>
        </w:rPr>
        <w:t>April</w:t>
      </w:r>
      <w:r w:rsidR="00084F0C">
        <w:rPr>
          <w:b/>
          <w:sz w:val="24"/>
        </w:rPr>
        <w:t xml:space="preserve"> </w:t>
      </w:r>
      <w:r w:rsidR="00736F46" w:rsidRPr="00736F46">
        <w:rPr>
          <w:b/>
          <w:sz w:val="24"/>
        </w:rPr>
        <w:t>201</w:t>
      </w:r>
      <w:r w:rsidR="00084F0C">
        <w:rPr>
          <w:b/>
          <w:sz w:val="24"/>
        </w:rPr>
        <w:t>7</w:t>
      </w:r>
    </w:p>
    <w:p w:rsidR="005B2982" w:rsidRPr="000B736B" w:rsidRDefault="005B2982" w:rsidP="005B2982">
      <w:pPr>
        <w:rPr>
          <w:sz w:val="24"/>
          <w:lang w:val="en-CA"/>
        </w:rPr>
      </w:pPr>
    </w:p>
    <w:p w:rsidR="00736F46" w:rsidRPr="000B736B" w:rsidRDefault="00736F46" w:rsidP="00736F46">
      <w:pPr>
        <w:ind w:left="720"/>
        <w:rPr>
          <w:sz w:val="24"/>
          <w:lang w:val="en-CA"/>
        </w:rPr>
      </w:pPr>
    </w:p>
    <w:p w:rsidR="00736F46" w:rsidRPr="000B736B" w:rsidRDefault="00F9308D" w:rsidP="00736F46">
      <w:pPr>
        <w:rPr>
          <w:sz w:val="24"/>
          <w:u w:val="single"/>
          <w:lang w:val="en-CA"/>
        </w:rPr>
      </w:pPr>
      <w:r>
        <w:rPr>
          <w:sz w:val="24"/>
          <w:u w:val="single"/>
          <w:lang w:val="en-CA"/>
        </w:rPr>
        <w:t xml:space="preserve">Handbook </w:t>
      </w:r>
      <w:r w:rsidR="00736F46" w:rsidRPr="000B736B">
        <w:rPr>
          <w:sz w:val="24"/>
          <w:u w:val="single"/>
          <w:lang w:val="en-CA"/>
        </w:rPr>
        <w:t xml:space="preserve">Chapter </w:t>
      </w:r>
      <w:r w:rsidR="00943CA9">
        <w:rPr>
          <w:sz w:val="24"/>
          <w:u w:val="single"/>
          <w:lang w:val="en-CA"/>
        </w:rPr>
        <w:t>4</w:t>
      </w:r>
      <w:r w:rsidR="00736F46" w:rsidRPr="000B736B">
        <w:rPr>
          <w:sz w:val="24"/>
          <w:u w:val="single"/>
          <w:lang w:val="en-CA"/>
        </w:rPr>
        <w:t xml:space="preserve">, </w:t>
      </w:r>
      <w:r w:rsidR="00835E01">
        <w:rPr>
          <w:sz w:val="24"/>
          <w:u w:val="single"/>
          <w:lang w:val="en-CA"/>
        </w:rPr>
        <w:t>Duties of a Trustee in the Administration of a Case</w:t>
      </w:r>
    </w:p>
    <w:p w:rsidR="000B736B" w:rsidRDefault="000B736B" w:rsidP="00736F46">
      <w:pPr>
        <w:rPr>
          <w:sz w:val="24"/>
          <w:lang w:val="en-CA"/>
        </w:rPr>
      </w:pPr>
    </w:p>
    <w:p w:rsidR="003C4F9F" w:rsidRDefault="00835E01" w:rsidP="00736F46">
      <w:pPr>
        <w:rPr>
          <w:sz w:val="24"/>
          <w:lang w:val="en-CA"/>
        </w:rPr>
      </w:pPr>
      <w:r>
        <w:rPr>
          <w:sz w:val="24"/>
          <w:lang w:val="en-CA"/>
        </w:rPr>
        <w:t>C.</w:t>
      </w:r>
      <w:r w:rsidR="00943CA9">
        <w:rPr>
          <w:sz w:val="24"/>
          <w:lang w:val="en-CA"/>
        </w:rPr>
        <w:t>3.a</w:t>
      </w:r>
      <w:r w:rsidR="003C4F9F" w:rsidRPr="000B736B">
        <w:rPr>
          <w:sz w:val="24"/>
          <w:lang w:val="en-CA"/>
        </w:rPr>
        <w:t xml:space="preserve">. </w:t>
      </w:r>
      <w:r w:rsidR="00943CA9">
        <w:rPr>
          <w:sz w:val="24"/>
          <w:lang w:val="en-CA"/>
        </w:rPr>
        <w:t>Inventory of Estate Property (Page</w:t>
      </w:r>
      <w:r>
        <w:rPr>
          <w:sz w:val="24"/>
          <w:lang w:val="en-CA"/>
        </w:rPr>
        <w:t>s</w:t>
      </w:r>
      <w:r w:rsidR="00943CA9">
        <w:rPr>
          <w:sz w:val="24"/>
          <w:lang w:val="en-CA"/>
        </w:rPr>
        <w:t xml:space="preserve"> 4-3 to 4-4)</w:t>
      </w:r>
    </w:p>
    <w:p w:rsidR="000B736B" w:rsidRPr="000B736B" w:rsidRDefault="000B736B" w:rsidP="00736F46">
      <w:pPr>
        <w:rPr>
          <w:sz w:val="24"/>
          <w:lang w:val="en-CA"/>
        </w:rPr>
      </w:pPr>
    </w:p>
    <w:p w:rsidR="003C4F9F" w:rsidRPr="000B736B" w:rsidRDefault="00943CA9" w:rsidP="003C4F9F">
      <w:pPr>
        <w:numPr>
          <w:ilvl w:val="0"/>
          <w:numId w:val="7"/>
        </w:numPr>
        <w:rPr>
          <w:sz w:val="24"/>
          <w:lang w:val="en-CA"/>
        </w:rPr>
      </w:pPr>
      <w:r>
        <w:rPr>
          <w:sz w:val="24"/>
          <w:lang w:val="en-CA"/>
        </w:rPr>
        <w:t>R</w:t>
      </w:r>
      <w:r w:rsidR="003C4F9F" w:rsidRPr="000B736B">
        <w:rPr>
          <w:sz w:val="24"/>
          <w:lang w:val="en-CA"/>
        </w:rPr>
        <w:t>evised to read as follows:</w:t>
      </w:r>
    </w:p>
    <w:p w:rsidR="00943CA9" w:rsidRPr="00943CA9" w:rsidRDefault="00943CA9" w:rsidP="00943CA9">
      <w:pPr>
        <w:pStyle w:val="ListParagraph"/>
        <w:rPr>
          <w:sz w:val="24"/>
        </w:rPr>
      </w:pPr>
      <w:r w:rsidRPr="00943CA9">
        <w:rPr>
          <w:sz w:val="24"/>
        </w:rPr>
        <w:t xml:space="preserve">“The trustee should inventory the debtor’s property, unless the trustee accepts as that inventory the debtor’s Schedule A - Real Property and Schedule B - Personal Property.  </w:t>
      </w:r>
      <w:proofErr w:type="gramStart"/>
      <w:r w:rsidRPr="00943CA9">
        <w:rPr>
          <w:sz w:val="24"/>
        </w:rPr>
        <w:t>Fed.</w:t>
      </w:r>
      <w:proofErr w:type="gramEnd"/>
      <w:r w:rsidRPr="00943CA9">
        <w:rPr>
          <w:sz w:val="24"/>
        </w:rPr>
        <w:t xml:space="preserve"> R. </w:t>
      </w:r>
      <w:proofErr w:type="spellStart"/>
      <w:r w:rsidRPr="00943CA9">
        <w:rPr>
          <w:sz w:val="24"/>
        </w:rPr>
        <w:t>Bankr</w:t>
      </w:r>
      <w:proofErr w:type="spellEnd"/>
      <w:r w:rsidRPr="00943CA9">
        <w:rPr>
          <w:sz w:val="24"/>
        </w:rPr>
        <w:t>. P. 2015(a</w:t>
      </w:r>
      <w:proofErr w:type="gramStart"/>
      <w:r w:rsidRPr="00943CA9">
        <w:rPr>
          <w:sz w:val="24"/>
        </w:rPr>
        <w:t>)(</w:t>
      </w:r>
      <w:proofErr w:type="gramEnd"/>
      <w:r w:rsidRPr="00943CA9">
        <w:rPr>
          <w:sz w:val="24"/>
        </w:rPr>
        <w:t>1).  Given the debtor’s duty to cooperate with the trustee in preparation of this inventory, the trustee must verify at the meeting of creditors that the debtor’s inventory, as shown on Schedules A and B or other documents, is complete and satisfactory.  There may be instances when Schedules A and B do not provide sufficient detail in order to properly administer the assets.  For example, if the debtor has listed Furs and Jewelry at $10,000, the trustee will need to obtain a detailed list of the items.  In addition to a written list, the trustee should consider using other methods to document the assets, such as videotaping the assets.  The inventory must be sufficient to enable a trustee to later verify whether an auctioneer or other liquidator has accounted for all property turned over for sale.</w:t>
      </w:r>
      <w:r w:rsidRPr="00943CA9">
        <w:rPr>
          <w:color w:val="FF0000"/>
          <w:sz w:val="24"/>
        </w:rPr>
        <w:t xml:space="preserve"> </w:t>
      </w:r>
      <w:r w:rsidRPr="00943CA9">
        <w:rPr>
          <w:sz w:val="24"/>
        </w:rPr>
        <w:t xml:space="preserve">In addition, see Chapter 4.C.10.e and Chapter 4.C.10.g which further discuss the trustee’s responsibilities: 1) to supervise professionals who take possession of estate assets, and 2) to monitor the status and safeguarding of the assets held by the professionals.  11 U.S.C. § 704, Fed. R. </w:t>
      </w:r>
      <w:proofErr w:type="spellStart"/>
      <w:r w:rsidRPr="00943CA9">
        <w:rPr>
          <w:sz w:val="24"/>
        </w:rPr>
        <w:t>Bankr</w:t>
      </w:r>
      <w:proofErr w:type="spellEnd"/>
      <w:r w:rsidRPr="00943CA9">
        <w:rPr>
          <w:sz w:val="24"/>
        </w:rPr>
        <w:t xml:space="preserve">. </w:t>
      </w:r>
      <w:proofErr w:type="gramStart"/>
      <w:r w:rsidRPr="00943CA9">
        <w:rPr>
          <w:sz w:val="24"/>
        </w:rPr>
        <w:t>P. 2015.</w:t>
      </w:r>
      <w:proofErr w:type="gramEnd"/>
      <w:r w:rsidRPr="00943CA9">
        <w:rPr>
          <w:sz w:val="24"/>
        </w:rPr>
        <w:t xml:space="preserve"> [Language amended April 1, 2017.]”</w:t>
      </w:r>
    </w:p>
    <w:p w:rsidR="000B736B" w:rsidRPr="000B736B" w:rsidRDefault="000B736B" w:rsidP="003C4F9F">
      <w:pPr>
        <w:ind w:left="720"/>
        <w:rPr>
          <w:sz w:val="24"/>
          <w:lang w:val="en-CA"/>
        </w:rPr>
      </w:pPr>
    </w:p>
    <w:p w:rsidR="000B736B" w:rsidRPr="00BB7090" w:rsidRDefault="00F9308D" w:rsidP="003C4F9F">
      <w:pPr>
        <w:rPr>
          <w:sz w:val="24"/>
          <w:u w:val="single"/>
          <w:lang w:val="en-CA"/>
        </w:rPr>
      </w:pPr>
      <w:r w:rsidRPr="00BB7090">
        <w:rPr>
          <w:sz w:val="24"/>
          <w:u w:val="single"/>
          <w:lang w:val="en-CA"/>
        </w:rPr>
        <w:t xml:space="preserve">Handbook </w:t>
      </w:r>
      <w:r w:rsidR="002840D8" w:rsidRPr="00BB7090">
        <w:rPr>
          <w:sz w:val="24"/>
          <w:u w:val="single"/>
          <w:lang w:val="en-CA"/>
        </w:rPr>
        <w:t>Chapter 5, Financial Policies, Procedures and Reporting Requirements</w:t>
      </w:r>
    </w:p>
    <w:p w:rsidR="002840D8" w:rsidRDefault="002840D8" w:rsidP="003C4F9F">
      <w:pPr>
        <w:rPr>
          <w:sz w:val="24"/>
          <w:lang w:val="en-CA"/>
        </w:rPr>
      </w:pPr>
    </w:p>
    <w:p w:rsidR="003C4F9F" w:rsidRDefault="002840D8" w:rsidP="003C4F9F">
      <w:pPr>
        <w:rPr>
          <w:sz w:val="24"/>
          <w:lang w:val="en-CA"/>
        </w:rPr>
      </w:pPr>
      <w:r>
        <w:rPr>
          <w:sz w:val="24"/>
          <w:lang w:val="en-CA"/>
        </w:rPr>
        <w:t>A.</w:t>
      </w:r>
      <w:r w:rsidR="003C4F9F" w:rsidRPr="000B736B">
        <w:rPr>
          <w:sz w:val="24"/>
          <w:lang w:val="en-CA"/>
        </w:rPr>
        <w:t xml:space="preserve"> </w:t>
      </w:r>
      <w:r>
        <w:rPr>
          <w:sz w:val="24"/>
          <w:lang w:val="en-CA"/>
        </w:rPr>
        <w:t>Adequate Recordkeeping and Reporting</w:t>
      </w:r>
    </w:p>
    <w:p w:rsidR="000B736B" w:rsidRPr="000B736B" w:rsidRDefault="000B736B" w:rsidP="003C4F9F">
      <w:pPr>
        <w:rPr>
          <w:sz w:val="24"/>
          <w:lang w:val="en-CA"/>
        </w:rPr>
      </w:pPr>
    </w:p>
    <w:p w:rsidR="003C4F9F" w:rsidRPr="000B736B" w:rsidRDefault="002840D8" w:rsidP="003C4F9F">
      <w:pPr>
        <w:numPr>
          <w:ilvl w:val="0"/>
          <w:numId w:val="7"/>
        </w:numPr>
        <w:rPr>
          <w:sz w:val="24"/>
          <w:lang w:val="en-CA"/>
        </w:rPr>
      </w:pPr>
      <w:r>
        <w:rPr>
          <w:sz w:val="24"/>
          <w:lang w:val="en-CA"/>
        </w:rPr>
        <w:t xml:space="preserve">Footnote 6 </w:t>
      </w:r>
      <w:r w:rsidR="003C4F9F" w:rsidRPr="000B736B">
        <w:rPr>
          <w:sz w:val="24"/>
          <w:lang w:val="en-CA"/>
        </w:rPr>
        <w:t>is revised to read as follows:</w:t>
      </w:r>
    </w:p>
    <w:p w:rsidR="000B736B" w:rsidRDefault="002B2FB5" w:rsidP="003C4F9F">
      <w:pPr>
        <w:ind w:left="720"/>
        <w:rPr>
          <w:sz w:val="24"/>
        </w:rPr>
      </w:pPr>
      <w:r>
        <w:rPr>
          <w:sz w:val="24"/>
        </w:rPr>
        <w:t>“</w:t>
      </w:r>
      <w:r w:rsidR="002840D8" w:rsidRPr="002840D8">
        <w:rPr>
          <w:sz w:val="24"/>
        </w:rPr>
        <w:t xml:space="preserve">These records are electronically submitted to the United States Trustee at least annually.  In addition, Form 1 and 2 are periodically filed with the court in some jurisdictions, and they are attached to TFRs and TDRs filed with the court.  Financial-account numbers must be redacted in Forms 1 and 2 filed with court; only the last four digits of a financial-account number may be shown.  See Fed R. </w:t>
      </w:r>
      <w:proofErr w:type="spellStart"/>
      <w:r w:rsidR="002840D8" w:rsidRPr="002840D8">
        <w:rPr>
          <w:sz w:val="24"/>
        </w:rPr>
        <w:t>Bankr</w:t>
      </w:r>
      <w:proofErr w:type="spellEnd"/>
      <w:r w:rsidR="002840D8" w:rsidRPr="002840D8">
        <w:rPr>
          <w:sz w:val="24"/>
        </w:rPr>
        <w:t>. P. 9037(a</w:t>
      </w:r>
      <w:proofErr w:type="gramStart"/>
      <w:r w:rsidR="002840D8" w:rsidRPr="002840D8">
        <w:rPr>
          <w:sz w:val="24"/>
        </w:rPr>
        <w:t>)(</w:t>
      </w:r>
      <w:proofErr w:type="gramEnd"/>
      <w:r w:rsidR="002840D8" w:rsidRPr="002840D8">
        <w:rPr>
          <w:sz w:val="24"/>
        </w:rPr>
        <w:t>4).  [Language amended April 1, 2017.]</w:t>
      </w:r>
    </w:p>
    <w:p w:rsidR="002B2FB5" w:rsidRDefault="002B2FB5" w:rsidP="003C4F9F">
      <w:pPr>
        <w:ind w:left="720"/>
        <w:rPr>
          <w:sz w:val="24"/>
        </w:rPr>
      </w:pPr>
    </w:p>
    <w:p w:rsidR="002B2FB5" w:rsidRDefault="002B2FB5" w:rsidP="003C4F9F">
      <w:pPr>
        <w:ind w:left="720"/>
        <w:rPr>
          <w:sz w:val="24"/>
        </w:rPr>
      </w:pPr>
    </w:p>
    <w:p w:rsidR="00BB7090" w:rsidRDefault="00BB7090" w:rsidP="002B2FB5">
      <w:pPr>
        <w:rPr>
          <w:sz w:val="24"/>
        </w:rPr>
      </w:pPr>
    </w:p>
    <w:p w:rsidR="00BB7090" w:rsidRDefault="00BB7090" w:rsidP="002B2FB5">
      <w:pPr>
        <w:rPr>
          <w:sz w:val="24"/>
        </w:rPr>
      </w:pPr>
    </w:p>
    <w:p w:rsidR="007D26B4" w:rsidRDefault="007D26B4" w:rsidP="002B2FB5">
      <w:pPr>
        <w:rPr>
          <w:sz w:val="24"/>
          <w:u w:val="single"/>
        </w:rPr>
      </w:pPr>
      <w:r>
        <w:rPr>
          <w:sz w:val="24"/>
          <w:u w:val="single"/>
        </w:rPr>
        <w:t>Handbook Chapter 6, United States Trustee Oversight</w:t>
      </w:r>
    </w:p>
    <w:p w:rsidR="007D26B4" w:rsidRDefault="007D26B4" w:rsidP="002B2FB5">
      <w:pPr>
        <w:rPr>
          <w:sz w:val="24"/>
          <w:u w:val="single"/>
        </w:rPr>
      </w:pPr>
    </w:p>
    <w:p w:rsidR="007D26B4" w:rsidRDefault="007D26B4" w:rsidP="002B2FB5">
      <w:pPr>
        <w:rPr>
          <w:sz w:val="24"/>
        </w:rPr>
      </w:pPr>
      <w:r w:rsidRPr="007D26B4">
        <w:rPr>
          <w:sz w:val="24"/>
        </w:rPr>
        <w:t>C.1 Audit and Field Exam Reports</w:t>
      </w:r>
    </w:p>
    <w:p w:rsidR="007D26B4" w:rsidRDefault="007D26B4" w:rsidP="002B2FB5">
      <w:pPr>
        <w:rPr>
          <w:sz w:val="24"/>
        </w:rPr>
      </w:pPr>
    </w:p>
    <w:p w:rsidR="007D26B4" w:rsidRDefault="007D26B4" w:rsidP="007D26B4">
      <w:pPr>
        <w:pStyle w:val="ListParagraph"/>
        <w:numPr>
          <w:ilvl w:val="0"/>
          <w:numId w:val="7"/>
        </w:numPr>
        <w:rPr>
          <w:sz w:val="24"/>
        </w:rPr>
      </w:pPr>
      <w:r>
        <w:rPr>
          <w:sz w:val="24"/>
        </w:rPr>
        <w:t>First paragraph, revised to read as follows:</w:t>
      </w:r>
    </w:p>
    <w:p w:rsidR="007D26B4" w:rsidRDefault="007D26B4" w:rsidP="007D26B4">
      <w:pPr>
        <w:ind w:left="720"/>
        <w:rPr>
          <w:sz w:val="24"/>
        </w:rPr>
      </w:pPr>
      <w:r>
        <w:rPr>
          <w:sz w:val="24"/>
        </w:rPr>
        <w:t>“</w:t>
      </w:r>
      <w:r w:rsidRPr="007D26B4">
        <w:rPr>
          <w:sz w:val="24"/>
        </w:rPr>
        <w:t xml:space="preserve">A written report on the results of the audit or field exam is issued usually within 60 days of the exit conference.  The United States Trustee forwards the report to the trustee, and the trustee must provide a written response to the United States Trustee within 21 days.  </w:t>
      </w:r>
      <w:proofErr w:type="gramStart"/>
      <w:r w:rsidRPr="007D26B4">
        <w:rPr>
          <w:sz w:val="24"/>
        </w:rPr>
        <w:t>28 U.S.C. § 586.</w:t>
      </w:r>
      <w:proofErr w:type="gramEnd"/>
      <w:r w:rsidRPr="007D26B4">
        <w:rPr>
          <w:sz w:val="24"/>
        </w:rPr>
        <w:t xml:space="preserve"> The trustee’s response must describe and document the corrective actions taken and the procedural changes implemented.  [Language amended April 1, 2017.]</w:t>
      </w:r>
      <w:r>
        <w:rPr>
          <w:sz w:val="24"/>
        </w:rPr>
        <w:t>”</w:t>
      </w:r>
    </w:p>
    <w:p w:rsidR="007D26B4" w:rsidRDefault="007D26B4" w:rsidP="007D26B4">
      <w:pPr>
        <w:ind w:left="720"/>
        <w:rPr>
          <w:sz w:val="24"/>
        </w:rPr>
      </w:pPr>
    </w:p>
    <w:p w:rsidR="007D26B4" w:rsidRDefault="007D26B4" w:rsidP="007D26B4">
      <w:pPr>
        <w:rPr>
          <w:sz w:val="24"/>
        </w:rPr>
      </w:pPr>
      <w:r>
        <w:rPr>
          <w:sz w:val="24"/>
        </w:rPr>
        <w:t>C.2 Case Administration Review Reports</w:t>
      </w:r>
    </w:p>
    <w:p w:rsidR="007D26B4" w:rsidRDefault="007D26B4" w:rsidP="007D26B4">
      <w:pPr>
        <w:rPr>
          <w:sz w:val="24"/>
        </w:rPr>
      </w:pPr>
    </w:p>
    <w:p w:rsidR="007D26B4" w:rsidRDefault="007D26B4" w:rsidP="007D26B4">
      <w:pPr>
        <w:pStyle w:val="ListParagraph"/>
        <w:numPr>
          <w:ilvl w:val="0"/>
          <w:numId w:val="11"/>
        </w:numPr>
        <w:rPr>
          <w:sz w:val="24"/>
        </w:rPr>
      </w:pPr>
      <w:r>
        <w:rPr>
          <w:sz w:val="24"/>
        </w:rPr>
        <w:t>First paragraph, revised to read as follows:</w:t>
      </w:r>
    </w:p>
    <w:p w:rsidR="007D26B4" w:rsidRPr="007D26B4" w:rsidRDefault="007D26B4" w:rsidP="007D26B4">
      <w:pPr>
        <w:pStyle w:val="ListParagraph"/>
        <w:rPr>
          <w:sz w:val="24"/>
        </w:rPr>
      </w:pPr>
      <w:r w:rsidRPr="007D26B4">
        <w:rPr>
          <w:sz w:val="24"/>
        </w:rPr>
        <w:t>When applicable, the trustee will receive a written notice of deficiencies with deadlines for implementing corrective actions.  The trustee will be requested to provide a written response to the United States Trustee within 21 days of the date of the written notice. [Language amended April 1, 2017.]</w:t>
      </w:r>
    </w:p>
    <w:p w:rsidR="007D26B4" w:rsidRPr="007D26B4" w:rsidRDefault="007D26B4" w:rsidP="007D26B4">
      <w:pPr>
        <w:rPr>
          <w:sz w:val="24"/>
        </w:rPr>
      </w:pPr>
    </w:p>
    <w:p w:rsidR="002B2FB5" w:rsidRPr="00BB7090" w:rsidRDefault="002B2FB5" w:rsidP="002B2FB5">
      <w:pPr>
        <w:rPr>
          <w:sz w:val="24"/>
          <w:u w:val="single"/>
        </w:rPr>
      </w:pPr>
      <w:r w:rsidRPr="00BB7090">
        <w:rPr>
          <w:sz w:val="24"/>
          <w:u w:val="single"/>
        </w:rPr>
        <w:t>General Instructions for Interim Reports (TIRs)</w:t>
      </w:r>
    </w:p>
    <w:p w:rsidR="002B2FB5" w:rsidRDefault="002B2FB5" w:rsidP="002B2FB5">
      <w:pPr>
        <w:rPr>
          <w:sz w:val="24"/>
        </w:rPr>
      </w:pPr>
    </w:p>
    <w:p w:rsidR="002B2FB5" w:rsidRDefault="002B2FB5" w:rsidP="002B2FB5">
      <w:pPr>
        <w:pStyle w:val="ListParagraph"/>
        <w:numPr>
          <w:ilvl w:val="0"/>
          <w:numId w:val="7"/>
        </w:numPr>
        <w:rPr>
          <w:sz w:val="24"/>
        </w:rPr>
      </w:pPr>
      <w:r w:rsidRPr="002B2FB5">
        <w:rPr>
          <w:sz w:val="24"/>
        </w:rPr>
        <w:t>Third paragraph, revised to rea</w:t>
      </w:r>
      <w:r w:rsidR="007D26B4">
        <w:rPr>
          <w:sz w:val="24"/>
        </w:rPr>
        <w:t>d</w:t>
      </w:r>
      <w:r w:rsidRPr="002B2FB5">
        <w:rPr>
          <w:sz w:val="24"/>
        </w:rPr>
        <w:t xml:space="preserve"> as follows:</w:t>
      </w:r>
    </w:p>
    <w:p w:rsidR="002B2FB5" w:rsidRPr="002B2FB5" w:rsidRDefault="002B2FB5" w:rsidP="002B2FB5">
      <w:pPr>
        <w:pStyle w:val="ListParagraph"/>
        <w:rPr>
          <w:sz w:val="24"/>
        </w:rPr>
      </w:pPr>
      <w:r>
        <w:rPr>
          <w:sz w:val="24"/>
        </w:rPr>
        <w:t xml:space="preserve">“Utilizing these records, the trustee provides an interim report (also known as the Trustee Interim Report or TIR) to the United States Trustee at least annually and upon request.  </w:t>
      </w:r>
      <w:r w:rsidRPr="009A5274">
        <w:rPr>
          <w:sz w:val="24"/>
        </w:rPr>
        <w:t xml:space="preserve">The report is to be submitted electronically in both a portable document format (PDF) and a spreadsheet format, according to the specifications prescribed by the Program. </w:t>
      </w:r>
      <w:r>
        <w:rPr>
          <w:sz w:val="24"/>
        </w:rPr>
        <w:t xml:space="preserve">The TIR consists of the Form 3, which is a summary listing of all pending asset cases (as defined above), a Form 1 for each listed case, and a Form 2 for each case with an estate bank account.  </w:t>
      </w:r>
      <w:r w:rsidRPr="00943CA9">
        <w:rPr>
          <w:sz w:val="24"/>
        </w:rPr>
        <w:t>[Language amended April 1, 2017.]</w:t>
      </w:r>
      <w:r>
        <w:rPr>
          <w:sz w:val="24"/>
        </w:rPr>
        <w:t>”</w:t>
      </w:r>
    </w:p>
    <w:p w:rsidR="002840D8" w:rsidRDefault="002840D8" w:rsidP="003C4F9F">
      <w:pPr>
        <w:ind w:left="720"/>
        <w:rPr>
          <w:sz w:val="24"/>
        </w:rPr>
      </w:pPr>
    </w:p>
    <w:p w:rsidR="00BB7090" w:rsidRPr="00BB7090" w:rsidRDefault="00BB7090" w:rsidP="00BB7090">
      <w:pPr>
        <w:rPr>
          <w:sz w:val="24"/>
          <w:u w:val="single"/>
        </w:rPr>
      </w:pPr>
      <w:r w:rsidRPr="00BB7090">
        <w:rPr>
          <w:sz w:val="24"/>
          <w:u w:val="single"/>
        </w:rPr>
        <w:t>Instructions for Form 3 – Summary Interim Asset Report</w:t>
      </w:r>
    </w:p>
    <w:p w:rsidR="00BB7090" w:rsidRDefault="00BB7090" w:rsidP="00BB7090">
      <w:pPr>
        <w:rPr>
          <w:sz w:val="24"/>
        </w:rPr>
      </w:pPr>
    </w:p>
    <w:p w:rsidR="00BB7090" w:rsidRDefault="00BB7090" w:rsidP="00BB7090">
      <w:pPr>
        <w:rPr>
          <w:sz w:val="24"/>
        </w:rPr>
      </w:pPr>
      <w:r>
        <w:rPr>
          <w:sz w:val="24"/>
        </w:rPr>
        <w:t>When to Complete Form 3</w:t>
      </w:r>
    </w:p>
    <w:p w:rsidR="00BB7090" w:rsidRDefault="00BB7090" w:rsidP="00BB7090">
      <w:pPr>
        <w:rPr>
          <w:sz w:val="24"/>
        </w:rPr>
      </w:pPr>
    </w:p>
    <w:p w:rsidR="00BB7090" w:rsidRDefault="00BB7090" w:rsidP="00BB7090">
      <w:pPr>
        <w:pStyle w:val="ListParagraph"/>
        <w:numPr>
          <w:ilvl w:val="0"/>
          <w:numId w:val="7"/>
        </w:numPr>
        <w:rPr>
          <w:sz w:val="24"/>
        </w:rPr>
      </w:pPr>
      <w:r>
        <w:rPr>
          <w:sz w:val="24"/>
        </w:rPr>
        <w:t>First paragraph revised to rea</w:t>
      </w:r>
      <w:r w:rsidR="007D26B4">
        <w:rPr>
          <w:sz w:val="24"/>
        </w:rPr>
        <w:t>d</w:t>
      </w:r>
      <w:r>
        <w:rPr>
          <w:sz w:val="24"/>
        </w:rPr>
        <w:t xml:space="preserve"> as follows:</w:t>
      </w:r>
    </w:p>
    <w:p w:rsidR="00BB7090" w:rsidRPr="00BB7090" w:rsidRDefault="00BB7090" w:rsidP="00BB7090">
      <w:pPr>
        <w:pStyle w:val="ListParagraph"/>
        <w:rPr>
          <w:sz w:val="24"/>
        </w:rPr>
      </w:pPr>
      <w:r>
        <w:rPr>
          <w:sz w:val="24"/>
        </w:rPr>
        <w:t>“</w:t>
      </w:r>
      <w:r w:rsidRPr="00BB7090">
        <w:rPr>
          <w:sz w:val="24"/>
        </w:rPr>
        <w:t>Trustees are required to file a Summary Interim Asset Report (Form 3) at least annually, unless the United States Trustee requires that it be filed more frequently. Form 3 includes the trustee’s certification that he or she has filed and reviewed Forms 1 and 2 for all cases listed on the Form 3 and that they are accurate and correct to the best of trustee’s knowledge. The trustee’s signature and date may be handwritten or electronic. Either method is acceptable for the trustee’s certification. [Language added April 1, 2017.]</w:t>
      </w:r>
      <w:r>
        <w:rPr>
          <w:sz w:val="24"/>
        </w:rPr>
        <w:t>”</w:t>
      </w:r>
    </w:p>
    <w:p w:rsidR="00BB7090" w:rsidRPr="00BB7090" w:rsidRDefault="00BB7090" w:rsidP="00BB7090">
      <w:pPr>
        <w:pStyle w:val="ListParagraph"/>
        <w:rPr>
          <w:sz w:val="24"/>
        </w:rPr>
      </w:pPr>
    </w:p>
    <w:sectPr w:rsidR="00BB7090" w:rsidRPr="00BB7090" w:rsidSect="00C76C16">
      <w:footerReference w:type="default" r:id="rId9"/>
      <w:endnotePr>
        <w:numFmt w:val="decimal"/>
      </w:endnotePr>
      <w:pgSz w:w="12240" w:h="15840"/>
      <w:pgMar w:top="540" w:right="1440" w:bottom="1260" w:left="1440" w:header="54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AA" w:rsidRDefault="007F79AA" w:rsidP="00C76C16">
      <w:r>
        <w:separator/>
      </w:r>
    </w:p>
  </w:endnote>
  <w:endnote w:type="continuationSeparator" w:id="0">
    <w:p w:rsidR="007F79AA" w:rsidRDefault="007F79AA" w:rsidP="00C7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47162"/>
      <w:docPartObj>
        <w:docPartGallery w:val="Page Numbers (Bottom of Page)"/>
        <w:docPartUnique/>
      </w:docPartObj>
    </w:sdtPr>
    <w:sdtEndPr>
      <w:rPr>
        <w:color w:val="808080" w:themeColor="background1" w:themeShade="80"/>
        <w:spacing w:val="60"/>
      </w:rPr>
    </w:sdtEndPr>
    <w:sdtContent>
      <w:p w:rsidR="000B736B" w:rsidRDefault="000B73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74FE">
          <w:rPr>
            <w:noProof/>
          </w:rPr>
          <w:t>2</w:t>
        </w:r>
        <w:r>
          <w:rPr>
            <w:noProof/>
          </w:rPr>
          <w:fldChar w:fldCharType="end"/>
        </w:r>
        <w:r>
          <w:t xml:space="preserve"> | </w:t>
        </w:r>
        <w:r>
          <w:rPr>
            <w:color w:val="808080" w:themeColor="background1" w:themeShade="80"/>
            <w:spacing w:val="60"/>
          </w:rPr>
          <w:t>Page</w:t>
        </w:r>
      </w:p>
    </w:sdtContent>
  </w:sdt>
  <w:p w:rsidR="000B736B" w:rsidRDefault="000B7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AA" w:rsidRDefault="007F79AA" w:rsidP="00C76C16">
      <w:r>
        <w:separator/>
      </w:r>
    </w:p>
  </w:footnote>
  <w:footnote w:type="continuationSeparator" w:id="0">
    <w:p w:rsidR="007F79AA" w:rsidRDefault="007F79AA" w:rsidP="00C76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3E892E"/>
    <w:lvl w:ilvl="0">
      <w:numFmt w:val="bullet"/>
      <w:lvlText w:val="*"/>
      <w:lvlJc w:val="left"/>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F892C3E"/>
    <w:multiLevelType w:val="hybridMultilevel"/>
    <w:tmpl w:val="E9B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C71B2"/>
    <w:multiLevelType w:val="hybridMultilevel"/>
    <w:tmpl w:val="C74A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3B71BD"/>
    <w:multiLevelType w:val="hybridMultilevel"/>
    <w:tmpl w:val="640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D7351"/>
    <w:multiLevelType w:val="multilevel"/>
    <w:tmpl w:val="7564056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5F126D32"/>
    <w:multiLevelType w:val="hybridMultilevel"/>
    <w:tmpl w:val="BBC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806257"/>
    <w:multiLevelType w:val="hybridMultilevel"/>
    <w:tmpl w:val="E03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C977CE"/>
    <w:multiLevelType w:val="hybridMultilevel"/>
    <w:tmpl w:val="DC4E18DA"/>
    <w:lvl w:ilvl="0" w:tplc="4380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E852611"/>
    <w:multiLevelType w:val="hybridMultilevel"/>
    <w:tmpl w:val="12441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1"/>
        <w:numFmt w:val="bullet"/>
        <w:lvlText w:val="•"/>
        <w:legacy w:legacy="1" w:legacySpace="0" w:legacyIndent="1"/>
        <w:lvlJc w:val="left"/>
        <w:pPr>
          <w:ind w:left="1081" w:hanging="1"/>
        </w:pPr>
        <w:rPr>
          <w:rFonts w:ascii="Times New Roman" w:hAnsi="Times New Roman" w:cs="Times New Roman" w:hint="default"/>
        </w:rPr>
      </w:lvl>
    </w:lvlOverride>
  </w:num>
  <w:num w:numId="3">
    <w:abstractNumId w:val="4"/>
  </w:num>
  <w:num w:numId="4">
    <w:abstractNumId w:val="5"/>
  </w:num>
  <w:num w:numId="5">
    <w:abstractNumId w:val="6"/>
  </w:num>
  <w:num w:numId="6">
    <w:abstractNumId w:val="7"/>
  </w:num>
  <w:num w:numId="7">
    <w:abstractNumId w:val="3"/>
  </w:num>
  <w:num w:numId="8">
    <w:abstractNumId w:val="8"/>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B6"/>
    <w:rsid w:val="00013097"/>
    <w:rsid w:val="00022714"/>
    <w:rsid w:val="0003215B"/>
    <w:rsid w:val="00084F0C"/>
    <w:rsid w:val="000B736B"/>
    <w:rsid w:val="000D3570"/>
    <w:rsid w:val="00114126"/>
    <w:rsid w:val="0012137B"/>
    <w:rsid w:val="00155A66"/>
    <w:rsid w:val="001B4CA8"/>
    <w:rsid w:val="001B5D7C"/>
    <w:rsid w:val="001D01A0"/>
    <w:rsid w:val="001F4356"/>
    <w:rsid w:val="002720B8"/>
    <w:rsid w:val="002840D8"/>
    <w:rsid w:val="002B2FB5"/>
    <w:rsid w:val="00331427"/>
    <w:rsid w:val="003A1415"/>
    <w:rsid w:val="003C4F9F"/>
    <w:rsid w:val="00400EB6"/>
    <w:rsid w:val="004172D3"/>
    <w:rsid w:val="004176E8"/>
    <w:rsid w:val="00465934"/>
    <w:rsid w:val="00471A8B"/>
    <w:rsid w:val="004A04CD"/>
    <w:rsid w:val="00534ECE"/>
    <w:rsid w:val="00552142"/>
    <w:rsid w:val="0056557F"/>
    <w:rsid w:val="005674FE"/>
    <w:rsid w:val="00573D15"/>
    <w:rsid w:val="00581B29"/>
    <w:rsid w:val="00583AF1"/>
    <w:rsid w:val="005B2982"/>
    <w:rsid w:val="005E3305"/>
    <w:rsid w:val="005E34C9"/>
    <w:rsid w:val="0061143B"/>
    <w:rsid w:val="006179ED"/>
    <w:rsid w:val="00617D71"/>
    <w:rsid w:val="00626093"/>
    <w:rsid w:val="00634151"/>
    <w:rsid w:val="00670259"/>
    <w:rsid w:val="00676284"/>
    <w:rsid w:val="00696373"/>
    <w:rsid w:val="006A6175"/>
    <w:rsid w:val="006C3152"/>
    <w:rsid w:val="00717E06"/>
    <w:rsid w:val="00736F46"/>
    <w:rsid w:val="007708F6"/>
    <w:rsid w:val="00771B31"/>
    <w:rsid w:val="0079126C"/>
    <w:rsid w:val="007A5476"/>
    <w:rsid w:val="007D26B4"/>
    <w:rsid w:val="007F79AA"/>
    <w:rsid w:val="008012BE"/>
    <w:rsid w:val="00825053"/>
    <w:rsid w:val="00835E01"/>
    <w:rsid w:val="00866F1C"/>
    <w:rsid w:val="008A7A32"/>
    <w:rsid w:val="008C4409"/>
    <w:rsid w:val="008E0A98"/>
    <w:rsid w:val="009151BB"/>
    <w:rsid w:val="00924D16"/>
    <w:rsid w:val="00942025"/>
    <w:rsid w:val="00943CA9"/>
    <w:rsid w:val="00956634"/>
    <w:rsid w:val="009641BE"/>
    <w:rsid w:val="00977532"/>
    <w:rsid w:val="009C5F69"/>
    <w:rsid w:val="009E3BC1"/>
    <w:rsid w:val="009E606B"/>
    <w:rsid w:val="00A829FA"/>
    <w:rsid w:val="00A91C79"/>
    <w:rsid w:val="00AD2E7E"/>
    <w:rsid w:val="00B025B2"/>
    <w:rsid w:val="00B131D3"/>
    <w:rsid w:val="00B206A7"/>
    <w:rsid w:val="00B208A2"/>
    <w:rsid w:val="00B52052"/>
    <w:rsid w:val="00B5391E"/>
    <w:rsid w:val="00B76022"/>
    <w:rsid w:val="00BB7090"/>
    <w:rsid w:val="00BE36BC"/>
    <w:rsid w:val="00BE72E7"/>
    <w:rsid w:val="00BE7BBD"/>
    <w:rsid w:val="00C344F6"/>
    <w:rsid w:val="00C76C16"/>
    <w:rsid w:val="00C914E8"/>
    <w:rsid w:val="00CC08F9"/>
    <w:rsid w:val="00D5031B"/>
    <w:rsid w:val="00D57272"/>
    <w:rsid w:val="00D62003"/>
    <w:rsid w:val="00D879D9"/>
    <w:rsid w:val="00DD73A5"/>
    <w:rsid w:val="00DD755D"/>
    <w:rsid w:val="00E11887"/>
    <w:rsid w:val="00E24899"/>
    <w:rsid w:val="00E328BA"/>
    <w:rsid w:val="00E44F6A"/>
    <w:rsid w:val="00E639CB"/>
    <w:rsid w:val="00E85544"/>
    <w:rsid w:val="00E86E77"/>
    <w:rsid w:val="00EA2836"/>
    <w:rsid w:val="00EA63BB"/>
    <w:rsid w:val="00EB6F25"/>
    <w:rsid w:val="00EE3129"/>
    <w:rsid w:val="00EF46E0"/>
    <w:rsid w:val="00F0035A"/>
    <w:rsid w:val="00F008B5"/>
    <w:rsid w:val="00F0315B"/>
    <w:rsid w:val="00F9308D"/>
    <w:rsid w:val="00FA31D9"/>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6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3976</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LIST OF CHANGES AND UPDATES TO THE</vt:lpstr>
    </vt:vector>
  </TitlesOfParts>
  <Company>EOUSA/DOJ</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CHANGES AND UPDATES TO THE  HANDBOOK FOR CHAPTER 7 TRUSTEES AND SUPPLEMENTARY MATERIALS</dc:title>
  <dc:creator>wtheus</dc:creator>
  <cp:lastModifiedBy>Chery, Rose</cp:lastModifiedBy>
  <cp:revision>5</cp:revision>
  <cp:lastPrinted>2012-05-04T14:35:00Z</cp:lastPrinted>
  <dcterms:created xsi:type="dcterms:W3CDTF">2017-03-29T21:12:00Z</dcterms:created>
  <dcterms:modified xsi:type="dcterms:W3CDTF">2017-03-30T17:31:00Z</dcterms:modified>
</cp:coreProperties>
</file>